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
      </w:pPr>
      <w:r>
        <w:t xml:space="preserve"/>
      </w:r>
    </w:p>
    <w:p>
      <w:pPr>
        <w:spacing w:after="80" w:before="0"/>
        <w:jc w:val="center"/>
      </w:pPr>
      <w:r>
        <w:rPr>
          <w:rFonts w:ascii="Arial" w:cs="Arial" w:eastAsia="Arial" w:hAnsi="Arial"/>
          <w:b/>
          <w:bCs/>
          <w:color w:val="C9A84C"/>
          <w:sz w:val="28"/>
          <w:szCs w:val="28"/>
        </w:rPr>
        <w:t xml:space="preserve">INTEGRITY ASSESSMENTS INVESTIGATIONS</w:t>
      </w:r>
    </w:p>
    <w:p>
      <w:pPr>
        <w:spacing w:after="60" w:before="0"/>
        <w:jc w:val="center"/>
      </w:pPr>
      <w:r>
        <w:rPr>
          <w:rFonts w:ascii="Arial" w:cs="Arial" w:eastAsia="Arial" w:hAnsi="Arial"/>
          <w:color w:val="666666"/>
          <w:sz w:val="20"/>
          <w:szCs w:val="20"/>
        </w:rPr>
        <w:t xml:space="preserve">TX License A19944401  |  iahotx.com  |  (407) 341-2778</w:t>
      </w:r>
    </w:p>
    <w:p>
      <w:pPr>
        <w:spacing w:after="0" w:before="160"/>
      </w:pPr>
      <w:r>
        <w:t xml:space="preserve"/>
      </w:r>
    </w:p>
    <w:p>
      <w:pPr>
        <w:pBdr>
          <w:top w:val="single" w:color="C9A84C" w:sz="12"/>
          <w:bottom w:val="single" w:color="C9A84C" w:sz="12"/>
        </w:pBdr>
        <w:spacing w:after="120" w:before="0"/>
        <w:jc w:val="center"/>
      </w:pPr>
      <w:r>
        <w:rPr>
          <w:rFonts w:ascii="Arial" w:cs="Arial" w:eastAsia="Arial" w:hAnsi="Arial"/>
          <w:b/>
          <w:bCs/>
          <w:color w:val="1B3A6B"/>
          <w:sz w:val="48"/>
          <w:szCs w:val="48"/>
        </w:rPr>
        <w:t xml:space="preserve">90-DAY REVENUE GENERATION PLAN</w:t>
      </w:r>
    </w:p>
    <w:p>
      <w:pPr>
        <w:spacing w:after="80" w:before="80"/>
        <w:jc w:val="center"/>
      </w:pPr>
      <w:r>
        <w:rPr>
          <w:rFonts w:ascii="Arial" w:cs="Arial" w:eastAsia="Arial" w:hAnsi="Arial"/>
          <w:b/>
          <w:bCs/>
          <w:color w:val="C9A84C"/>
          <w:sz w:val="32"/>
          <w:szCs w:val="32"/>
        </w:rPr>
        <w:t xml:space="preserve">Target: $60,000 in 90 Days</w:t>
      </w:r>
    </w:p>
    <w:p>
      <w:pPr>
        <w:spacing w:after="0" w:before="80"/>
      </w:pPr>
      <w:r>
        <w:t xml:space="preserve"/>
      </w:r>
    </w:p>
    <w:p>
      <w:pPr>
        <w:spacing w:after="60" w:before="0"/>
        <w:jc w:val="center"/>
      </w:pPr>
      <w:r>
        <w:rPr>
          <w:rFonts w:ascii="Arial" w:cs="Arial" w:eastAsia="Arial" w:hAnsi="Arial"/>
          <w:color w:val="333333"/>
          <w:sz w:val="22"/>
          <w:szCs w:val="22"/>
        </w:rPr>
        <w:t xml:space="preserve">Prepared by: Dr. Celvin G. Walwyn, Ph.D.</w:t>
      </w:r>
    </w:p>
    <w:p>
      <w:pPr>
        <w:spacing w:after="60" w:before="0"/>
        <w:jc w:val="center"/>
      </w:pPr>
      <w:r>
        <w:rPr>
          <w:rFonts w:ascii="Arial" w:cs="Arial" w:eastAsia="Arial" w:hAnsi="Arial"/>
          <w:color w:val="333333"/>
          <w:sz w:val="22"/>
          <w:szCs w:val="22"/>
        </w:rPr>
        <w:t xml:space="preserve">Executive Director &amp; Lead Investigator</w:t>
      </w:r>
    </w:p>
    <w:p>
      <w:pPr>
        <w:spacing w:after="60" w:before="0"/>
        <w:jc w:val="center"/>
      </w:pPr>
      <w:r>
        <w:rPr>
          <w:rFonts w:ascii="Arial" w:cs="Arial" w:eastAsia="Arial" w:hAnsi="Arial"/>
          <w:color w:val="666666"/>
          <w:sz w:val="22"/>
          <w:szCs w:val="22"/>
        </w:rPr>
        <w:t xml:space="preserve">May 2026</w:t>
      </w:r>
    </w:p>
    <w:p>
      <w:pPr>
        <w:spacing w:after="0" w:before="160"/>
      </w:pPr>
      <w:r>
        <w:t xml:space="preserve"/>
      </w:r>
    </w:p>
    <w:p>
      <w:pPr>
        <w:spacing w:after="60" w:before="0"/>
        <w:jc w:val="center"/>
      </w:pPr>
      <w:r>
        <w:rPr>
          <w:rFonts w:ascii="Arial" w:cs="Arial" w:eastAsia="Arial" w:hAnsi="Arial"/>
          <w:b/>
          <w:bCs/>
          <w:color w:val="1B3A6B"/>
          <w:sz w:val="22"/>
          <w:szCs w:val="22"/>
        </w:rPr>
        <w:t xml:space="preserve">CJA Panel Vendor  |  SDTX  |  Harris County  |  Fort Bend County</w:t>
      </w:r>
    </w:p>
    <w:p>
      <w:pPr>
        <w:spacing w:after="60" w:before="0"/>
        <w:jc w:val="center"/>
      </w:pPr>
      <w:r>
        <w:rPr>
          <w:rFonts w:ascii="Arial" w:cs="Arial" w:eastAsia="Arial" w:hAnsi="Arial"/>
          <w:color w:val="666666"/>
          <w:sz w:val="20"/>
          <w:szCs w:val="20"/>
        </w:rPr>
        <w:t xml:space="preserve">Minority Women-Owned Business  |  Bilingual EN/ES</w:t>
      </w:r>
    </w:p>
    <w:p>
      <w:r>
        <w:br w:type="page"/>
      </w:r>
    </w:p>
    <w:p>
      <w:pPr>
        <w:pStyle w:val="Heading1"/>
        <w:pBdr>
          <w:bottom w:val="single" w:color="C9A84C" w:sz="10" w:space="4"/>
        </w:pBdr>
        <w:spacing w:after="160" w:before="400"/>
      </w:pPr>
      <w:r>
        <w:rPr>
          <w:rFonts w:ascii="Arial" w:cs="Arial" w:eastAsia="Arial" w:hAnsi="Arial"/>
          <w:b/>
          <w:bCs/>
          <w:color w:val="1B3A6B"/>
          <w:sz w:val="30"/>
          <w:szCs w:val="30"/>
        </w:rPr>
        <w:t xml:space="preserve">Executive Summary</w:t>
      </w:r>
    </w:p>
    <w:p>
      <w:pPr>
        <w:spacing w:after="80" w:before="60"/>
      </w:pPr>
      <w:r>
        <w:rPr>
          <w:rFonts w:ascii="Arial" w:cs="Arial" w:eastAsia="Arial" w:hAnsi="Arial"/>
          <w:color w:val="333333"/>
          <w:sz w:val="22"/>
          <w:szCs w:val="22"/>
        </w:rPr>
        <w:t xml:space="preserve">Integrity Assessments Investigations (IAI) is a Texas-licensed private investigations firm serving criminal defense attorneys across the Southern District of Texas, Harris County, and Fort Bend County. As a CJA Panel Vendor and court-approved investigations provider at the federal, district, and county levels, IAI is uniquely positioned to generate substantial revenue in the next 90 days through aggressive but focused outreach and service delivery.</w:t>
      </w:r>
    </w:p>
    <w:p>
      <w:pPr>
        <w:spacing w:after="0" w:before="80"/>
      </w:pPr>
      <w:r>
        <w:t xml:space="preserve"/>
      </w:r>
    </w:p>
    <w:p>
      <w:pPr>
        <w:spacing w:after="80" w:before="60"/>
      </w:pPr>
      <w:r>
        <w:rPr>
          <w:rFonts w:ascii="Arial" w:cs="Arial" w:eastAsia="Arial" w:hAnsi="Arial"/>
          <w:color w:val="333333"/>
          <w:sz w:val="22"/>
          <w:szCs w:val="22"/>
        </w:rPr>
        <w:t xml:space="preserve">This plan targets $60,000 in gross revenue across five service lines through three sequential phases: Foundation (Days 1-30), Momentum (Days 31-60), and Harvest (Days 61-90). Since our original March 2026 plan, IAI has completed the build-out of a fully operational digital infrastructure including a Case Management System, Business Suite, Attorney Portfolio intake system, Staff Training Portal, OSINT investigation toolkit, and the Attorney Portal at iahotx.com — giving IAI capabilities that most investigative firms our size do not have.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340"/>
        <w:gridCol w:w="1560"/>
        <w:gridCol w:w="2340"/>
      </w:tblGrid>
      <w:tr>
        <w:tc>
          <w:tcPr>
            <w:tcW w:type="dxa" w:w="312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SERVICE LINE</w:t>
            </w:r>
          </w:p>
        </w:tc>
        <w:tc>
          <w:tcPr>
            <w:tcW w:type="dxa" w:w="234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UNIT RATE</w:t>
            </w:r>
          </w:p>
        </w:tc>
        <w:tc>
          <w:tcPr>
            <w:tcW w:type="dxa" w:w="156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UNITS</w:t>
            </w:r>
          </w:p>
        </w:tc>
        <w:tc>
          <w:tcPr>
            <w:tcW w:type="dxa" w:w="234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TARGET REVENUE</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Court-Appointed (CJA) Investigations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$80/hr avg 40hrs</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9 cases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$28,800</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EyeDetect® Credibility Assessments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$450 standalone / $600 full</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20 sessions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$10,200</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VerifEye® PSI Reports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$250 / $450 full packet</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15 reports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$6,750</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PCSOT Testing</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$300 per session</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10 sessions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$3,000</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Private-Pay Defense Investigations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$90/hr avg 25hrs</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5 cases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$11,250</w:t>
            </w:r>
          </w:p>
        </w:tc>
      </w:tr>
      <w:tr>
        <w:tc>
          <w:tcPr>
            <w:tcW w:type="dxa" w:w="312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tcPr>
          <w:p>
            <w:r>
              <w:rPr>
                <w:rFonts w:ascii="Arial" w:cs="Arial" w:eastAsia="Arial" w:hAnsi="Arial"/>
                <w:b/>
                <w:bCs/>
                <w:color w:val="FFFFFF"/>
                <w:sz w:val="22"/>
                <w:szCs w:val="22"/>
              </w:rPr>
              <w:t xml:space="preserve">TOTAL</w:t>
            </w:r>
          </w:p>
        </w:tc>
        <w:tc>
          <w:tcPr>
            <w:tcW w:type="dxa" w:w="234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tcPr>
          <w:p>
            <w:r>
              <w:rPr>
                <w:rFonts w:ascii="Arial" w:cs="Arial" w:eastAsia="Arial" w:hAnsi="Arial"/>
                <w:color w:val="FFFFFF"/>
                <w:sz w:val="22"/>
                <w:szCs w:val="22"/>
              </w:rPr>
              <w:t xml:space="preserve"/>
            </w:r>
          </w:p>
        </w:tc>
        <w:tc>
          <w:tcPr>
            <w:tcW w:type="dxa" w:w="156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tcPr>
          <w:p>
            <w:r>
              <w:rPr>
                <w:rFonts w:ascii="Arial" w:cs="Arial" w:eastAsia="Arial" w:hAnsi="Arial"/>
                <w:color w:val="FFFFFF"/>
                <w:sz w:val="22"/>
                <w:szCs w:val="22"/>
              </w:rPr>
              <w:t xml:space="preserve"/>
            </w:r>
          </w:p>
        </w:tc>
        <w:tc>
          <w:tcPr>
            <w:tcW w:type="dxa" w:w="2340"/>
            <w:tcBorders>
              <w:top w:val="single" w:color="CCCCCC" w:sz="1"/>
              <w:left w:val="single" w:color="CCCCCC" w:sz="1"/>
              <w:bottom w:val="single" w:color="CCCCCC" w:sz="1"/>
              <w:right w:val="single" w:color="CCCCCC" w:sz="1"/>
            </w:tcBorders>
            <w:shd w:fill="C9A84C" w:val="clear"/>
            <w:tcMar>
              <w:top w:type="dxa" w:w="100"/>
              <w:left w:type="dxa" w:w="120"/>
              <w:bottom w:type="dxa" w:w="100"/>
              <w:right w:type="dxa" w:w="120"/>
            </w:tcMar>
          </w:tcPr>
          <w:p>
            <w:pPr>
              <w:jc w:val="center"/>
            </w:pPr>
            <w:r>
              <w:rPr>
                <w:rFonts w:ascii="Arial" w:cs="Arial" w:eastAsia="Arial" w:hAnsi="Arial"/>
                <w:b/>
                <w:bCs/>
                <w:color w:val="1B3A6B"/>
                <w:sz w:val="26"/>
                <w:szCs w:val="26"/>
              </w:rPr>
              <w:t xml:space="preserve">$60,000</w:t>
            </w:r>
          </w:p>
        </w:tc>
      </w:tr>
    </w:tbl>
    <w:p>
      <w:r>
        <w:br w:type="page"/>
      </w:r>
    </w:p>
    <w:p>
      <w:pPr>
        <w:pStyle w:val="Heading1"/>
        <w:pBdr>
          <w:bottom w:val="single" w:color="C9A84C" w:sz="10" w:space="4"/>
        </w:pBdr>
        <w:spacing w:after="160" w:before="400"/>
      </w:pPr>
      <w:r>
        <w:rPr>
          <w:rFonts w:ascii="Arial" w:cs="Arial" w:eastAsia="Arial" w:hAnsi="Arial"/>
          <w:b/>
          <w:bCs/>
          <w:color w:val="1B3A6B"/>
          <w:sz w:val="30"/>
          <w:szCs w:val="30"/>
        </w:rPr>
        <w:t xml:space="preserve">IAI Digital Infrastructure — A Competitive Advantage</w:t>
      </w:r>
    </w:p>
    <w:p>
      <w:pPr>
        <w:spacing w:after="80" w:before="60"/>
      </w:pPr>
      <w:r>
        <w:rPr>
          <w:rFonts w:ascii="Arial" w:cs="Arial" w:eastAsia="Arial" w:hAnsi="Arial"/>
          <w:color w:val="333333"/>
          <w:sz w:val="22"/>
          <w:szCs w:val="22"/>
        </w:rPr>
        <w:t xml:space="preserve">Since March 2026, IAI has built and deployed a complete operational infrastructure that positions us ahead of most investigative firms in Harris County. This infrastructure directly supports revenue generation by enabling faster intake, better case management, and professional attorney-facing tools.</w:t>
      </w:r>
    </w:p>
    <w:p>
      <w:pPr>
        <w:spacing w:after="0" w:before="80"/>
      </w:pPr>
      <w:r>
        <w:t xml:space="preserve"/>
      </w:r>
    </w:p>
    <w:p>
      <w:pPr>
        <w:spacing w:after="80" w:before="200"/>
      </w:pPr>
      <w:r>
        <w:rPr>
          <w:rFonts w:ascii="Arial" w:cs="Arial" w:eastAsia="Arial" w:hAnsi="Arial"/>
          <w:b/>
          <w:bCs/>
          <w:color w:val="C9A84C"/>
          <w:sz w:val="24"/>
          <w:szCs w:val="24"/>
        </w:rPr>
        <w:t xml:space="preserve">Deployed Systems</w:t>
      </w:r>
    </w:p>
    <w:p>
      <w:pPr>
        <w:pStyle w:val="ListParagraph"/>
        <w:numPr>
          <w:ilvl w:val="0"/>
          <w:numId w:val="2"/>
        </w:numPr>
        <w:spacing w:after="40" w:before="40"/>
      </w:pPr>
      <w:r>
        <w:rPr>
          <w:rFonts w:ascii="Arial" w:cs="Arial" w:eastAsia="Arial" w:hAnsi="Arial"/>
          <w:b w:val="false"/>
          <w:bCs w:val="false"/>
          <w:color w:val="333333"/>
          <w:sz w:val="22"/>
          <w:szCs w:val="22"/>
        </w:rPr>
        <w:t xml:space="preserve">Case Management System (CMS) — Full case tracking, CJA invoicing, field navigation, mileage logging, and investigator assignment with role-based access control</w:t>
      </w:r>
    </w:p>
    <w:p>
      <w:pPr>
        <w:pStyle w:val="ListParagraph"/>
        <w:numPr>
          <w:ilvl w:val="0"/>
          <w:numId w:val="2"/>
        </w:numPr>
        <w:spacing w:after="40" w:before="40"/>
      </w:pPr>
      <w:r>
        <w:rPr>
          <w:rFonts w:ascii="Arial" w:cs="Arial" w:eastAsia="Arial" w:hAnsi="Arial"/>
          <w:b w:val="false"/>
          <w:bCs w:val="false"/>
          <w:color w:val="333333"/>
          <w:sz w:val="22"/>
          <w:szCs w:val="22"/>
        </w:rPr>
        <w:t xml:space="preserve">Business Suite — Expense tracking, income recording, invoice generation (MAC-compliant), and financial reporting</w:t>
      </w:r>
    </w:p>
    <w:p>
      <w:pPr>
        <w:pStyle w:val="ListParagraph"/>
        <w:numPr>
          <w:ilvl w:val="0"/>
          <w:numId w:val="2"/>
        </w:numPr>
        <w:spacing w:after="40" w:before="40"/>
      </w:pPr>
      <w:r>
        <w:rPr>
          <w:rFonts w:ascii="Arial" w:cs="Arial" w:eastAsia="Arial" w:hAnsi="Arial"/>
          <w:b w:val="false"/>
          <w:bCs w:val="false"/>
          <w:color w:val="333333"/>
          <w:sz w:val="22"/>
          <w:szCs w:val="22"/>
        </w:rPr>
        <w:t xml:space="preserve">Attorney Portfolio — Secure intake system for attorney case submissions, bridged directly to the CMS. Now mobile and tablet optimized.</w:t>
      </w:r>
    </w:p>
    <w:p>
      <w:pPr>
        <w:pStyle w:val="ListParagraph"/>
        <w:numPr>
          <w:ilvl w:val="0"/>
          <w:numId w:val="2"/>
        </w:numPr>
        <w:spacing w:after="40" w:before="40"/>
      </w:pPr>
      <w:r>
        <w:rPr>
          <w:rFonts w:ascii="Arial" w:cs="Arial" w:eastAsia="Arial" w:hAnsi="Arial"/>
          <w:b w:val="false"/>
          <w:bCs w:val="false"/>
          <w:color w:val="333333"/>
          <w:sz w:val="22"/>
          <w:szCs w:val="22"/>
        </w:rPr>
        <w:t xml:space="preserve">Staff Training Portal — Google Classroom-integrated with 4 modules including HCCLA refresher and CLE-eligible modules</w:t>
      </w:r>
    </w:p>
    <w:p>
      <w:pPr>
        <w:pStyle w:val="ListParagraph"/>
        <w:numPr>
          <w:ilvl w:val="0"/>
          <w:numId w:val="2"/>
        </w:numPr>
        <w:spacing w:after="40" w:before="40"/>
      </w:pPr>
      <w:r>
        <w:rPr>
          <w:rFonts w:ascii="Arial" w:cs="Arial" w:eastAsia="Arial" w:hAnsi="Arial"/>
          <w:b w:val="false"/>
          <w:bCs w:val="false"/>
          <w:color w:val="333333"/>
          <w:sz w:val="22"/>
          <w:szCs w:val="22"/>
        </w:rPr>
        <w:t xml:space="preserve">OSINT Launcher — 13-category open-source intelligence tool with state/nationwide search scope for all investigators</w:t>
      </w:r>
    </w:p>
    <w:p>
      <w:pPr>
        <w:pStyle w:val="ListParagraph"/>
        <w:numPr>
          <w:ilvl w:val="0"/>
          <w:numId w:val="2"/>
        </w:numPr>
        <w:spacing w:after="40" w:before="40"/>
      </w:pPr>
      <w:r>
        <w:rPr>
          <w:rFonts w:ascii="Arial" w:cs="Arial" w:eastAsia="Arial" w:hAnsi="Arial"/>
          <w:b w:val="false"/>
          <w:bCs w:val="false"/>
          <w:color w:val="333333"/>
          <w:sz w:val="22"/>
          <w:szCs w:val="22"/>
        </w:rPr>
        <w:t xml:space="preserve">Investigator Field Reference Guide — 13-tab reference covering all major case types including Prostitution and Criminal Trespass</w:t>
      </w:r>
    </w:p>
    <w:p>
      <w:pPr>
        <w:pStyle w:val="ListParagraph"/>
        <w:numPr>
          <w:ilvl w:val="0"/>
          <w:numId w:val="2"/>
        </w:numPr>
        <w:spacing w:after="40" w:before="40"/>
      </w:pPr>
      <w:r>
        <w:rPr>
          <w:rFonts w:ascii="Arial" w:cs="Arial" w:eastAsia="Arial" w:hAnsi="Arial"/>
          <w:b w:val="false"/>
          <w:bCs w:val="false"/>
          <w:color w:val="333333"/>
          <w:sz w:val="22"/>
          <w:szCs w:val="22"/>
        </w:rPr>
        <w:t xml:space="preserve">Attorney Portal (iahotx.com/attorney-portal.html) — Professional attorney-facing page with full capability package, EyeDetect® information, team bios, HCCLA presentation, and VerifEye® PSI details</w:t>
      </w:r>
    </w:p>
    <w:p>
      <w:pPr>
        <w:pStyle w:val="ListParagraph"/>
        <w:numPr>
          <w:ilvl w:val="0"/>
          <w:numId w:val="2"/>
        </w:numPr>
        <w:spacing w:after="40" w:before="40"/>
      </w:pPr>
      <w:r>
        <w:rPr>
          <w:rFonts w:ascii="Arial" w:cs="Arial" w:eastAsia="Arial" w:hAnsi="Arial"/>
          <w:b w:val="false"/>
          <w:bCs w:val="false"/>
          <w:color w:val="333333"/>
          <w:sz w:val="22"/>
          <w:szCs w:val="22"/>
        </w:rPr>
        <w:t xml:space="preserve">VerifEye® PSI Service — Launched and live, with fillable PDF and Word report templates deployed</w:t>
      </w:r>
    </w:p>
    <w:p>
      <w:pPr>
        <w:spacing w:after="0" w:before="80"/>
      </w:pPr>
      <w:r>
        <w:t xml:space="preserve"/>
      </w:r>
    </w:p>
    <w:p>
      <w:pPr>
        <w:spacing w:after="80" w:before="60"/>
      </w:pPr>
      <w:r>
        <w:rPr>
          <w:rFonts w:ascii="Arial" w:cs="Arial" w:eastAsia="Arial" w:hAnsi="Arial"/>
          <w:b w:val="false"/>
          <w:bCs w:val="false"/>
          <w:color w:val="333333"/>
          <w:sz w:val="22"/>
          <w:szCs w:val="22"/>
        </w:rPr>
        <w:t xml:space="preserve">These systems eliminate the administrative bottleneck that limits most small investigative firms. IAI can take a case from attorney inquiry to assignment to billing entirely within our own platform.</w:t>
      </w:r>
    </w:p>
    <w:p>
      <w:r>
        <w:br w:type="page"/>
      </w:r>
    </w:p>
    <w:p>
      <w:pPr>
        <w:pStyle w:val="Heading1"/>
        <w:pBdr>
          <w:bottom w:val="single" w:color="C9A84C" w:sz="10" w:space="4"/>
        </w:pBdr>
        <w:spacing w:after="160" w:before="400"/>
      </w:pPr>
      <w:r>
        <w:rPr>
          <w:rFonts w:ascii="Arial" w:cs="Arial" w:eastAsia="Arial" w:hAnsi="Arial"/>
          <w:b/>
          <w:bCs/>
          <w:color w:val="1B3A6B"/>
          <w:sz w:val="30"/>
          <w:szCs w:val="30"/>
        </w:rPr>
        <w:t xml:space="preserve">Three-Phase Revenue Plan</w:t>
      </w:r>
    </w:p>
    <w:p>
      <w:pPr>
        <w:pStyle w:val="Heading2"/>
        <w:spacing w:after="100" w:before="280"/>
      </w:pPr>
      <w:r>
        <w:rPr>
          <w:rFonts w:ascii="Arial" w:cs="Arial" w:eastAsia="Arial" w:hAnsi="Arial"/>
          <w:b/>
          <w:bCs/>
          <w:color w:val="1B3A6B"/>
          <w:sz w:val="26"/>
          <w:szCs w:val="26"/>
        </w:rPr>
        <w:t xml:space="preserve">Phase 1 — Foundation (Days 1–30) | Target: $15,000</w:t>
      </w:r>
    </w:p>
    <w:p>
      <w:pPr>
        <w:pBdr>
          <w:left w:val="single" w:color="C9A84C" w:sz="16" w:space="8"/>
        </w:pBdr>
        <w:spacing w:after="80" w:before="60"/>
        <w:ind w:left="240"/>
      </w:pPr>
      <w:r>
        <w:rPr>
          <w:rFonts w:ascii="Arial" w:cs="Arial" w:eastAsia="Arial" w:hAnsi="Arial"/>
          <w:color w:val="555555"/>
          <w:sz w:val="22"/>
          <w:szCs w:val="22"/>
        </w:rPr>
        <w:t xml:space="preserve">Focus: Attorney outreach, EyeDetect® bookings, first CJA case billings</w:t>
      </w:r>
    </w:p>
    <w:p>
      <w:pPr>
        <w:spacing w:after="0" w:before="80"/>
      </w:pPr>
      <w:r>
        <w:t xml:space="preserve"/>
      </w:r>
    </w:p>
    <w:p>
      <w:pPr>
        <w:spacing w:after="80" w:before="200"/>
      </w:pPr>
      <w:r>
        <w:rPr>
          <w:rFonts w:ascii="Arial" w:cs="Arial" w:eastAsia="Arial" w:hAnsi="Arial"/>
          <w:b/>
          <w:bCs/>
          <w:color w:val="C9A84C"/>
          <w:sz w:val="24"/>
          <w:szCs w:val="24"/>
        </w:rPr>
        <w:t xml:space="preserve">Attorney Outreach (Days 1–10)</w:t>
      </w:r>
    </w:p>
    <w:p>
      <w:pPr>
        <w:pStyle w:val="ListParagraph"/>
        <w:numPr>
          <w:ilvl w:val="0"/>
          <w:numId w:val="2"/>
        </w:numPr>
        <w:spacing w:after="40" w:before="40"/>
      </w:pPr>
      <w:r>
        <w:rPr>
          <w:rFonts w:ascii="Arial" w:cs="Arial" w:eastAsia="Arial" w:hAnsi="Arial"/>
          <w:b w:val="false"/>
          <w:bCs w:val="false"/>
          <w:color w:val="333333"/>
          <w:sz w:val="22"/>
          <w:szCs w:val="22"/>
        </w:rPr>
        <w:t xml:space="preserve">Launch HCCLA attorney email campaign — 50 targeted contacts using the IAI Bulk Email Sender</w:t>
      </w:r>
    </w:p>
    <w:p>
      <w:pPr>
        <w:pStyle w:val="ListParagraph"/>
        <w:numPr>
          <w:ilvl w:val="0"/>
          <w:numId w:val="2"/>
        </w:numPr>
        <w:spacing w:after="40" w:before="40"/>
      </w:pPr>
      <w:r>
        <w:rPr>
          <w:rFonts w:ascii="Arial" w:cs="Arial" w:eastAsia="Arial" w:hAnsi="Arial"/>
          <w:b w:val="false"/>
          <w:bCs w:val="false"/>
          <w:color w:val="333333"/>
          <w:sz w:val="22"/>
          <w:szCs w:val="22"/>
        </w:rPr>
        <w:t xml:space="preserve">Share the HCCLA Defense Investigator Advantage presentation link with every contacted attorney</w:t>
      </w:r>
    </w:p>
    <w:p>
      <w:pPr>
        <w:pStyle w:val="ListParagraph"/>
        <w:numPr>
          <w:ilvl w:val="0"/>
          <w:numId w:val="2"/>
        </w:numPr>
        <w:spacing w:after="40" w:before="40"/>
      </w:pPr>
      <w:r>
        <w:rPr>
          <w:rFonts w:ascii="Arial" w:cs="Arial" w:eastAsia="Arial" w:hAnsi="Arial"/>
          <w:b w:val="false"/>
          <w:bCs w:val="false"/>
          <w:color w:val="333333"/>
          <w:sz w:val="22"/>
          <w:szCs w:val="22"/>
        </w:rPr>
        <w:t xml:space="preserve">Direct attorneys to iahotx.com/attorney-portal.html for capability statement and VerifEye PSI details</w:t>
      </w:r>
    </w:p>
    <w:p>
      <w:pPr>
        <w:pStyle w:val="ListParagraph"/>
        <w:numPr>
          <w:ilvl w:val="0"/>
          <w:numId w:val="2"/>
        </w:numPr>
        <w:spacing w:after="40" w:before="40"/>
      </w:pPr>
      <w:r>
        <w:rPr>
          <w:rFonts w:ascii="Arial" w:cs="Arial" w:eastAsia="Arial" w:hAnsi="Arial"/>
          <w:b w:val="false"/>
          <w:bCs w:val="false"/>
          <w:color w:val="333333"/>
          <w:sz w:val="22"/>
          <w:szCs w:val="22"/>
        </w:rPr>
        <w:t xml:space="preserve">Follow up by phone within 48 hours of each email — Dr. Walwyn or A.D.</w:t>
      </w:r>
    </w:p>
    <w:p>
      <w:pPr>
        <w:pStyle w:val="ListParagraph"/>
        <w:numPr>
          <w:ilvl w:val="0"/>
          <w:numId w:val="2"/>
        </w:numPr>
        <w:spacing w:after="40" w:before="40"/>
      </w:pPr>
      <w:r>
        <w:rPr>
          <w:rFonts w:ascii="Arial" w:cs="Arial" w:eastAsia="Arial" w:hAnsi="Arial"/>
          <w:b w:val="false"/>
          <w:bCs w:val="false"/>
          <w:color w:val="333333"/>
          <w:sz w:val="22"/>
          <w:szCs w:val="22"/>
        </w:rPr>
        <w:t xml:space="preserve">Submit IAI capability package to Fort Bend County Bar Association criminal defense section</w:t>
      </w:r>
    </w:p>
    <w:p>
      <w:pPr>
        <w:spacing w:after="0" w:before="80"/>
      </w:pPr>
      <w:r>
        <w:t xml:space="preserve"/>
      </w:r>
    </w:p>
    <w:p>
      <w:pPr>
        <w:spacing w:after="80" w:before="200"/>
      </w:pPr>
      <w:r>
        <w:rPr>
          <w:rFonts w:ascii="Arial" w:cs="Arial" w:eastAsia="Arial" w:hAnsi="Arial"/>
          <w:b/>
          <w:bCs/>
          <w:color w:val="C9A84C"/>
          <w:sz w:val="24"/>
          <w:szCs w:val="24"/>
        </w:rPr>
        <w:t xml:space="preserve">EyeDetect® Quick Revenue (Days 1–30)</w:t>
      </w:r>
    </w:p>
    <w:p>
      <w:pPr>
        <w:pStyle w:val="ListParagraph"/>
        <w:numPr>
          <w:ilvl w:val="0"/>
          <w:numId w:val="2"/>
        </w:numPr>
        <w:spacing w:after="40" w:before="40"/>
      </w:pPr>
      <w:r>
        <w:rPr>
          <w:rFonts w:ascii="Arial" w:cs="Arial" w:eastAsia="Arial" w:hAnsi="Arial"/>
          <w:b w:val="false"/>
          <w:bCs w:val="false"/>
          <w:color w:val="333333"/>
          <w:sz w:val="22"/>
          <w:szCs w:val="22"/>
        </w:rPr>
        <w:t xml:space="preserve">Target 8 EyeDetect® assessments in first 30 days at $450–$600 each = $3,600–$4,800</w:t>
      </w:r>
    </w:p>
    <w:p>
      <w:pPr>
        <w:pStyle w:val="ListParagraph"/>
        <w:numPr>
          <w:ilvl w:val="0"/>
          <w:numId w:val="2"/>
        </w:numPr>
        <w:spacing w:after="40" w:before="40"/>
      </w:pPr>
      <w:r>
        <w:rPr>
          <w:rFonts w:ascii="Arial" w:cs="Arial" w:eastAsia="Arial" w:hAnsi="Arial"/>
          <w:b w:val="false"/>
          <w:bCs w:val="false"/>
          <w:color w:val="333333"/>
          <w:sz w:val="22"/>
          <w:szCs w:val="22"/>
        </w:rPr>
        <w:t xml:space="preserve">Reach out to probation and parole officer network for PCSOT referrals</w:t>
      </w:r>
    </w:p>
    <w:p>
      <w:pPr>
        <w:pStyle w:val="ListParagraph"/>
        <w:numPr>
          <w:ilvl w:val="0"/>
          <w:numId w:val="2"/>
        </w:numPr>
        <w:spacing w:after="40" w:before="40"/>
      </w:pPr>
      <w:r>
        <w:rPr>
          <w:rFonts w:ascii="Arial" w:cs="Arial" w:eastAsia="Arial" w:hAnsi="Arial"/>
          <w:b w:val="false"/>
          <w:bCs w:val="false"/>
          <w:color w:val="333333"/>
          <w:sz w:val="22"/>
          <w:szCs w:val="22"/>
        </w:rPr>
        <w:t xml:space="preserve">Contact defense attorneys with pending sentencing hearings — VerifEye PSI is ideal for these</w:t>
      </w:r>
    </w:p>
    <w:p>
      <w:pPr>
        <w:pStyle w:val="ListParagraph"/>
        <w:numPr>
          <w:ilvl w:val="0"/>
          <w:numId w:val="2"/>
        </w:numPr>
        <w:spacing w:after="40" w:before="40"/>
      </w:pPr>
      <w:r>
        <w:rPr>
          <w:rFonts w:ascii="Arial" w:cs="Arial" w:eastAsia="Arial" w:hAnsi="Arial"/>
          <w:b w:val="false"/>
          <w:bCs w:val="false"/>
          <w:color w:val="333333"/>
          <w:sz w:val="22"/>
          <w:szCs w:val="22"/>
        </w:rPr>
        <w:t xml:space="preserve">Promote the remote VerifEye® PSI option to out-of-county attorneys — no office visit required</w:t>
      </w:r>
    </w:p>
    <w:p>
      <w:pPr>
        <w:spacing w:after="0" w:before="80"/>
      </w:pPr>
      <w:r>
        <w:t xml:space="preserve"/>
      </w:r>
    </w:p>
    <w:p>
      <w:pPr>
        <w:spacing w:after="80" w:before="200"/>
      </w:pPr>
      <w:r>
        <w:rPr>
          <w:rFonts w:ascii="Arial" w:cs="Arial" w:eastAsia="Arial" w:hAnsi="Arial"/>
          <w:b/>
          <w:bCs/>
          <w:color w:val="C9A84C"/>
          <w:sz w:val="24"/>
          <w:szCs w:val="24"/>
        </w:rPr>
        <w:t xml:space="preserve">CJA Case Pipeline (Days 15–30)</w:t>
      </w:r>
    </w:p>
    <w:p>
      <w:pPr>
        <w:pStyle w:val="ListParagraph"/>
        <w:numPr>
          <w:ilvl w:val="0"/>
          <w:numId w:val="2"/>
        </w:numPr>
        <w:spacing w:after="40" w:before="40"/>
      </w:pPr>
      <w:r>
        <w:rPr>
          <w:rFonts w:ascii="Arial" w:cs="Arial" w:eastAsia="Arial" w:hAnsi="Arial"/>
          <w:b w:val="false"/>
          <w:bCs w:val="false"/>
          <w:color w:val="333333"/>
          <w:sz w:val="22"/>
          <w:szCs w:val="22"/>
        </w:rPr>
        <w:t xml:space="preserve">Contact MAC program coordinator to confirm IAI billing status and any outstanding vouchers</w:t>
      </w:r>
    </w:p>
    <w:p>
      <w:pPr>
        <w:pStyle w:val="ListParagraph"/>
        <w:numPr>
          <w:ilvl w:val="0"/>
          <w:numId w:val="2"/>
        </w:numPr>
        <w:spacing w:after="40" w:before="40"/>
      </w:pPr>
      <w:r>
        <w:rPr>
          <w:rFonts w:ascii="Arial" w:cs="Arial" w:eastAsia="Arial" w:hAnsi="Arial"/>
          <w:b w:val="false"/>
          <w:bCs w:val="false"/>
          <w:color w:val="333333"/>
          <w:sz w:val="22"/>
          <w:szCs w:val="22"/>
        </w:rPr>
        <w:t xml:space="preserve">Reach out to CJA panel attorneys directly — IAI is already approved, zero friction</w:t>
      </w:r>
    </w:p>
    <w:p>
      <w:pPr>
        <w:pStyle w:val="ListParagraph"/>
        <w:numPr>
          <w:ilvl w:val="0"/>
          <w:numId w:val="2"/>
        </w:numPr>
        <w:spacing w:after="40" w:before="40"/>
      </w:pPr>
      <w:r>
        <w:rPr>
          <w:rFonts w:ascii="Arial" w:cs="Arial" w:eastAsia="Arial" w:hAnsi="Arial"/>
          <w:b w:val="false"/>
          <w:bCs w:val="false"/>
          <w:color w:val="333333"/>
          <w:sz w:val="22"/>
          <w:szCs w:val="22"/>
        </w:rPr>
        <w:t xml:space="preserve">Target 3 new CJA case assignments in first 30 days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CCCCC" w:sz="1"/>
              <w:left w:val="single" w:color="CCCCCC" w:sz="1"/>
              <w:bottom w:val="single" w:color="CCCCCC" w:sz="1"/>
              <w:right w:val="single" w:color="CCCCCC" w:sz="1"/>
            </w:tcBorders>
            <w:shd w:fill="C9A84C"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PHASE 1 REVENUE BREAKDOWN</w:t>
            </w:r>
          </w:p>
        </w:tc>
        <w:tc>
          <w:tcPr>
            <w:tcW w:type="dxa" w:w="2340"/>
            <w:tcBorders>
              <w:top w:val="single" w:color="CCCCCC" w:sz="1"/>
              <w:left w:val="single" w:color="CCCCCC" w:sz="1"/>
              <w:bottom w:val="single" w:color="CCCCCC" w:sz="1"/>
              <w:right w:val="single" w:color="CCCCCC" w:sz="1"/>
            </w:tcBorders>
            <w:shd w:fill="C9A84C"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UNITS</w:t>
            </w:r>
          </w:p>
        </w:tc>
        <w:tc>
          <w:tcPr>
            <w:tcW w:type="dxa" w:w="2340"/>
            <w:tcBorders>
              <w:top w:val="single" w:color="CCCCCC" w:sz="1"/>
              <w:left w:val="single" w:color="CCCCCC" w:sz="1"/>
              <w:bottom w:val="single" w:color="CCCCCC" w:sz="1"/>
              <w:right w:val="single" w:color="CCCCCC" w:sz="1"/>
            </w:tcBorders>
            <w:shd w:fill="C9A84C"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REVENUE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EyeDetect® Assessments (8 sessions)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8</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$4,000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VerifEye® PSI Reports (5 reports)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5</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$2,500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CJA Investigations (3 cases, partial billing)</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3</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$7,200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Private-Pay Cases (1 case)</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1</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$1,300</w:t>
            </w:r>
          </w:p>
        </w:tc>
      </w:tr>
      <w:tr>
        <w:tc>
          <w:tcPr>
            <w:tcW w:type="dxa" w:w="468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tcPr>
          <w:p>
            <w:r>
              <w:rPr>
                <w:rFonts w:ascii="Arial" w:cs="Arial" w:eastAsia="Arial" w:hAnsi="Arial"/>
                <w:b/>
                <w:bCs/>
                <w:color w:val="FFFFFF"/>
                <w:sz w:val="22"/>
                <w:szCs w:val="22"/>
              </w:rPr>
              <w:t xml:space="preserve">PHASE 1 TOTAL</w:t>
            </w:r>
          </w:p>
        </w:tc>
        <w:tc>
          <w:tcPr>
            <w:tcW w:type="dxa" w:w="234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tcPr>
          <w:p>
            <w:r>
              <w:rPr>
                <w:rFonts w:ascii="Arial" w:cs="Arial" w:eastAsia="Arial" w:hAnsi="Arial"/>
                <w:color w:val="FFFFFF"/>
                <w:sz w:val="22"/>
                <w:szCs w:val="22"/>
              </w:rPr>
              <w:t xml:space="preserve"/>
            </w:r>
          </w:p>
        </w:tc>
        <w:tc>
          <w:tcPr>
            <w:tcW w:type="dxa" w:w="2340"/>
            <w:tcBorders>
              <w:top w:val="single" w:color="CCCCCC" w:sz="1"/>
              <w:left w:val="single" w:color="CCCCCC" w:sz="1"/>
              <w:bottom w:val="single" w:color="CCCCCC" w:sz="1"/>
              <w:right w:val="single" w:color="CCCCCC" w:sz="1"/>
            </w:tcBorders>
            <w:shd w:fill="C9A84C" w:val="clear"/>
            <w:tcMar>
              <w:top w:type="dxa" w:w="100"/>
              <w:left w:type="dxa" w:w="120"/>
              <w:bottom w:type="dxa" w:w="100"/>
              <w:right w:type="dxa" w:w="120"/>
            </w:tcMar>
          </w:tcPr>
          <w:p>
            <w:pPr>
              <w:jc w:val="center"/>
            </w:pPr>
            <w:r>
              <w:rPr>
                <w:rFonts w:ascii="Arial" w:cs="Arial" w:eastAsia="Arial" w:hAnsi="Arial"/>
                <w:b/>
                <w:bCs/>
                <w:color w:val="1B3A6B"/>
                <w:sz w:val="24"/>
                <w:szCs w:val="24"/>
              </w:rPr>
              <w:t xml:space="preserve">$15,000</w:t>
            </w:r>
          </w:p>
        </w:tc>
      </w:tr>
    </w:tbl>
    <w:p>
      <w:pPr>
        <w:spacing w:after="0" w:before="160"/>
      </w:pPr>
      <w:r>
        <w:t xml:space="preserve"/>
      </w:r>
    </w:p>
    <w:p>
      <w:pPr>
        <w:pStyle w:val="Heading2"/>
        <w:spacing w:after="100" w:before="280"/>
      </w:pPr>
      <w:r>
        <w:rPr>
          <w:rFonts w:ascii="Arial" w:cs="Arial" w:eastAsia="Arial" w:hAnsi="Arial"/>
          <w:b/>
          <w:bCs/>
          <w:color w:val="1B3A6B"/>
          <w:sz w:val="26"/>
          <w:szCs w:val="26"/>
        </w:rPr>
        <w:t xml:space="preserve">Phase 2 — Momentum (Days 31–60) | Target: $25,000</w:t>
      </w:r>
    </w:p>
    <w:p>
      <w:pPr>
        <w:pBdr>
          <w:left w:val="single" w:color="C9A84C" w:sz="16" w:space="8"/>
        </w:pBdr>
        <w:spacing w:after="80" w:before="60"/>
        <w:ind w:left="240"/>
      </w:pPr>
      <w:r>
        <w:rPr>
          <w:rFonts w:ascii="Arial" w:cs="Arial" w:eastAsia="Arial" w:hAnsi="Arial"/>
          <w:color w:val="555555"/>
          <w:sz w:val="22"/>
          <w:szCs w:val="22"/>
        </w:rPr>
        <w:t xml:space="preserve">Focus: CJA case volume, luncheon presentation, PCSOT pipeline, referral agreements</w:t>
      </w:r>
    </w:p>
    <w:p>
      <w:pPr>
        <w:spacing w:after="0" w:before="80"/>
      </w:pPr>
      <w:r>
        <w:t xml:space="preserve"/>
      </w:r>
    </w:p>
    <w:p>
      <w:pPr>
        <w:spacing w:after="80" w:before="200"/>
      </w:pPr>
      <w:r>
        <w:rPr>
          <w:rFonts w:ascii="Arial" w:cs="Arial" w:eastAsia="Arial" w:hAnsi="Arial"/>
          <w:b/>
          <w:bCs/>
          <w:color w:val="C9A84C"/>
          <w:sz w:val="24"/>
          <w:szCs w:val="24"/>
        </w:rPr>
        <w:t xml:space="preserve">HCCLA Luncheon Presentation</w:t>
      </w:r>
    </w:p>
    <w:p>
      <w:pPr>
        <w:pStyle w:val="ListParagraph"/>
        <w:numPr>
          <w:ilvl w:val="0"/>
          <w:numId w:val="2"/>
        </w:numPr>
        <w:spacing w:after="40" w:before="40"/>
      </w:pPr>
      <w:r>
        <w:rPr>
          <w:rFonts w:ascii="Arial" w:cs="Arial" w:eastAsia="Arial" w:hAnsi="Arial"/>
          <w:b w:val="false"/>
          <w:bCs w:val="false"/>
          <w:color w:val="333333"/>
          <w:sz w:val="22"/>
          <w:szCs w:val="22"/>
        </w:rPr>
        <w:t xml:space="preserve">Schedule and deliver the Defense Investigator Advantage presentation to HCCLA members</w:t>
      </w:r>
    </w:p>
    <w:p>
      <w:pPr>
        <w:pStyle w:val="ListParagraph"/>
        <w:numPr>
          <w:ilvl w:val="0"/>
          <w:numId w:val="2"/>
        </w:numPr>
        <w:spacing w:after="40" w:before="40"/>
      </w:pPr>
      <w:r>
        <w:rPr>
          <w:rFonts w:ascii="Arial" w:cs="Arial" w:eastAsia="Arial" w:hAnsi="Arial"/>
          <w:b w:val="false"/>
          <w:bCs w:val="false"/>
          <w:color w:val="333333"/>
          <w:sz w:val="22"/>
          <w:szCs w:val="22"/>
        </w:rPr>
        <w:t xml:space="preserve">Distribute IAI capability packages at the event — printed and digital QR code to attorney-portal.html</w:t>
      </w:r>
    </w:p>
    <w:p>
      <w:pPr>
        <w:pStyle w:val="ListParagraph"/>
        <w:numPr>
          <w:ilvl w:val="0"/>
          <w:numId w:val="2"/>
        </w:numPr>
        <w:spacing w:after="40" w:before="40"/>
      </w:pPr>
      <w:r>
        <w:rPr>
          <w:rFonts w:ascii="Arial" w:cs="Arial" w:eastAsia="Arial" w:hAnsi="Arial"/>
          <w:b w:val="false"/>
          <w:bCs w:val="false"/>
          <w:color w:val="333333"/>
          <w:sz w:val="22"/>
          <w:szCs w:val="22"/>
        </w:rPr>
        <w:t xml:space="preserve">Follow up with every attendee within 24 hours — Dr. Walwyn personal outreach</w:t>
      </w:r>
    </w:p>
    <w:p>
      <w:pPr>
        <w:pStyle w:val="ListParagraph"/>
        <w:numPr>
          <w:ilvl w:val="0"/>
          <w:numId w:val="2"/>
        </w:numPr>
        <w:spacing w:after="40" w:before="40"/>
      </w:pPr>
      <w:r>
        <w:rPr>
          <w:rFonts w:ascii="Arial" w:cs="Arial" w:eastAsia="Arial" w:hAnsi="Arial"/>
          <w:b w:val="false"/>
          <w:bCs w:val="false"/>
          <w:color w:val="333333"/>
          <w:sz w:val="22"/>
          <w:szCs w:val="22"/>
        </w:rPr>
        <w:t xml:space="preserve">Book at least 5 new cases or assessments directly from luncheon contacts</w:t>
      </w:r>
    </w:p>
    <w:p>
      <w:pPr>
        <w:spacing w:after="0" w:before="80"/>
      </w:pPr>
      <w:r>
        <w:t xml:space="preserve"/>
      </w:r>
    </w:p>
    <w:p>
      <w:pPr>
        <w:spacing w:after="80" w:before="200"/>
      </w:pPr>
      <w:r>
        <w:rPr>
          <w:rFonts w:ascii="Arial" w:cs="Arial" w:eastAsia="Arial" w:hAnsi="Arial"/>
          <w:b/>
          <w:bCs/>
          <w:color w:val="C9A84C"/>
          <w:sz w:val="24"/>
          <w:szCs w:val="24"/>
        </w:rPr>
        <w:t xml:space="preserve">PCSOT &amp; Supervision Referral Network</w:t>
      </w:r>
    </w:p>
    <w:p>
      <w:pPr>
        <w:pStyle w:val="ListParagraph"/>
        <w:numPr>
          <w:ilvl w:val="0"/>
          <w:numId w:val="2"/>
        </w:numPr>
        <w:spacing w:after="40" w:before="40"/>
      </w:pPr>
      <w:r>
        <w:rPr>
          <w:rFonts w:ascii="Arial" w:cs="Arial" w:eastAsia="Arial" w:hAnsi="Arial"/>
          <w:b w:val="false"/>
          <w:bCs w:val="false"/>
          <w:color w:val="333333"/>
          <w:sz w:val="22"/>
          <w:szCs w:val="22"/>
        </w:rPr>
        <w:t xml:space="preserve">Contact Harris County and Fort Bend County probation departments regarding PCSOT testing referrals</w:t>
      </w:r>
    </w:p>
    <w:p>
      <w:pPr>
        <w:pStyle w:val="ListParagraph"/>
        <w:numPr>
          <w:ilvl w:val="0"/>
          <w:numId w:val="2"/>
        </w:numPr>
        <w:spacing w:after="40" w:before="40"/>
      </w:pPr>
      <w:r>
        <w:rPr>
          <w:rFonts w:ascii="Arial" w:cs="Arial" w:eastAsia="Arial" w:hAnsi="Arial"/>
          <w:b w:val="false"/>
          <w:bCs w:val="false"/>
          <w:color w:val="333333"/>
          <w:sz w:val="22"/>
          <w:szCs w:val="22"/>
        </w:rPr>
        <w:t xml:space="preserve">Build relationships with sex offender supervision officers — they drive PCSOT volume</w:t>
      </w:r>
    </w:p>
    <w:p>
      <w:pPr>
        <w:pStyle w:val="ListParagraph"/>
        <w:numPr>
          <w:ilvl w:val="0"/>
          <w:numId w:val="2"/>
        </w:numPr>
        <w:spacing w:after="40" w:before="40"/>
      </w:pPr>
      <w:r>
        <w:rPr>
          <w:rFonts w:ascii="Arial" w:cs="Arial" w:eastAsia="Arial" w:hAnsi="Arial"/>
          <w:b w:val="false"/>
          <w:bCs w:val="false"/>
          <w:color w:val="333333"/>
          <w:sz w:val="22"/>
          <w:szCs w:val="22"/>
        </w:rPr>
        <w:t xml:space="preserve">Target 5 PCSOT sessions at $300 each = $1,500 in this phase</w:t>
      </w:r>
    </w:p>
    <w:p>
      <w:pPr>
        <w:spacing w:after="0" w:before="80"/>
      </w:pPr>
      <w:r>
        <w:t xml:space="preserve"/>
      </w:r>
    </w:p>
    <w:p>
      <w:pPr>
        <w:spacing w:after="80" w:before="200"/>
      </w:pPr>
      <w:r>
        <w:rPr>
          <w:rFonts w:ascii="Arial" w:cs="Arial" w:eastAsia="Arial" w:hAnsi="Arial"/>
          <w:b/>
          <w:bCs/>
          <w:color w:val="C9A84C"/>
          <w:sz w:val="24"/>
          <w:szCs w:val="24"/>
        </w:rPr>
        <w:t xml:space="preserve">CJA Case Acceleration</w:t>
      </w:r>
    </w:p>
    <w:p>
      <w:pPr>
        <w:pStyle w:val="ListParagraph"/>
        <w:numPr>
          <w:ilvl w:val="0"/>
          <w:numId w:val="2"/>
        </w:numPr>
        <w:spacing w:after="40" w:before="40"/>
      </w:pPr>
      <w:r>
        <w:rPr>
          <w:rFonts w:ascii="Arial" w:cs="Arial" w:eastAsia="Arial" w:hAnsi="Arial"/>
          <w:b w:val="false"/>
          <w:bCs w:val="false"/>
          <w:color w:val="333333"/>
          <w:sz w:val="22"/>
          <w:szCs w:val="22"/>
        </w:rPr>
        <w:t xml:space="preserve">Target 4 additional CJA case assignments — leverage growing attorney relationships from Phase 1</w:t>
      </w:r>
    </w:p>
    <w:p>
      <w:pPr>
        <w:pStyle w:val="ListParagraph"/>
        <w:numPr>
          <w:ilvl w:val="0"/>
          <w:numId w:val="2"/>
        </w:numPr>
        <w:spacing w:after="40" w:before="40"/>
      </w:pPr>
      <w:r>
        <w:rPr>
          <w:rFonts w:ascii="Arial" w:cs="Arial" w:eastAsia="Arial" w:hAnsi="Arial"/>
          <w:b w:val="false"/>
          <w:bCs w:val="false"/>
          <w:color w:val="333333"/>
          <w:sz w:val="22"/>
          <w:szCs w:val="22"/>
        </w:rPr>
        <w:t xml:space="preserve">Ensure all Phase 1 CJA vouchers are submitted and tracked in the Business Suite</w:t>
      </w:r>
    </w:p>
    <w:p>
      <w:pPr>
        <w:pStyle w:val="ListParagraph"/>
        <w:numPr>
          <w:ilvl w:val="0"/>
          <w:numId w:val="2"/>
        </w:numPr>
        <w:spacing w:after="40" w:before="40"/>
      </w:pPr>
      <w:r>
        <w:rPr>
          <w:rFonts w:ascii="Arial" w:cs="Arial" w:eastAsia="Arial" w:hAnsi="Arial"/>
          <w:b w:val="false"/>
          <w:bCs w:val="false"/>
          <w:color w:val="333333"/>
          <w:sz w:val="22"/>
          <w:szCs w:val="22"/>
        </w:rPr>
        <w:t xml:space="preserve">Add Earl Campbell to active case assignments to increase throughput</w:t>
      </w:r>
    </w:p>
    <w:p>
      <w:pPr>
        <w:spacing w:after="0" w:before="80"/>
      </w:pPr>
      <w:r>
        <w:t xml:space="preserve"/>
      </w:r>
    </w:p>
    <w:p>
      <w:pPr>
        <w:spacing w:after="80" w:before="200"/>
      </w:pPr>
      <w:r>
        <w:rPr>
          <w:rFonts w:ascii="Arial" w:cs="Arial" w:eastAsia="Arial" w:hAnsi="Arial"/>
          <w:b/>
          <w:bCs/>
          <w:color w:val="C9A84C"/>
          <w:sz w:val="24"/>
          <w:szCs w:val="24"/>
        </w:rPr>
        <w:t xml:space="preserve">Referral Agreements</w:t>
      </w:r>
    </w:p>
    <w:p>
      <w:pPr>
        <w:pStyle w:val="ListParagraph"/>
        <w:numPr>
          <w:ilvl w:val="0"/>
          <w:numId w:val="2"/>
        </w:numPr>
        <w:spacing w:after="40" w:before="40"/>
      </w:pPr>
      <w:r>
        <w:rPr>
          <w:rFonts w:ascii="Arial" w:cs="Arial" w:eastAsia="Arial" w:hAnsi="Arial"/>
          <w:b w:val="false"/>
          <w:bCs w:val="false"/>
          <w:color w:val="333333"/>
          <w:sz w:val="22"/>
          <w:szCs w:val="22"/>
        </w:rPr>
        <w:t xml:space="preserve">Formalize referral relationships with 3–5 HCCLA attorneys who have sent cases</w:t>
      </w:r>
    </w:p>
    <w:p>
      <w:pPr>
        <w:pStyle w:val="ListParagraph"/>
        <w:numPr>
          <w:ilvl w:val="0"/>
          <w:numId w:val="2"/>
        </w:numPr>
        <w:spacing w:after="40" w:before="40"/>
      </w:pPr>
      <w:r>
        <w:rPr>
          <w:rFonts w:ascii="Arial" w:cs="Arial" w:eastAsia="Arial" w:hAnsi="Arial"/>
          <w:b w:val="false"/>
          <w:bCs w:val="false"/>
          <w:color w:val="333333"/>
          <w:sz w:val="22"/>
          <w:szCs w:val="22"/>
        </w:rPr>
        <w:t xml:space="preserve">Explore reciprocal referral arrangement with a bondsman or bail agency for client intake leads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CCCCC" w:sz="1"/>
              <w:left w:val="single" w:color="CCCCCC" w:sz="1"/>
              <w:bottom w:val="single" w:color="CCCCCC" w:sz="1"/>
              <w:right w:val="single" w:color="CCCCCC" w:sz="1"/>
            </w:tcBorders>
            <w:shd w:fill="C9A84C"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PHASE 2 REVENUE BREAKDOWN</w:t>
            </w:r>
          </w:p>
        </w:tc>
        <w:tc>
          <w:tcPr>
            <w:tcW w:type="dxa" w:w="2340"/>
            <w:tcBorders>
              <w:top w:val="single" w:color="CCCCCC" w:sz="1"/>
              <w:left w:val="single" w:color="CCCCCC" w:sz="1"/>
              <w:bottom w:val="single" w:color="CCCCCC" w:sz="1"/>
              <w:right w:val="single" w:color="CCCCCC" w:sz="1"/>
            </w:tcBorders>
            <w:shd w:fill="C9A84C"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UNITS</w:t>
            </w:r>
          </w:p>
        </w:tc>
        <w:tc>
          <w:tcPr>
            <w:tcW w:type="dxa" w:w="2340"/>
            <w:tcBorders>
              <w:top w:val="single" w:color="CCCCCC" w:sz="1"/>
              <w:left w:val="single" w:color="CCCCCC" w:sz="1"/>
              <w:bottom w:val="single" w:color="CCCCCC" w:sz="1"/>
              <w:right w:val="single" w:color="CCCCCC" w:sz="1"/>
            </w:tcBorders>
            <w:shd w:fill="C9A84C"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REVENUE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CJA Investigations (4 cases)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4</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$12,800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EyeDetect® Assessments (8 sessions)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8</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$3,600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VerifEye® PSI Reports (5 reports)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5</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$2,250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PCSOT Testing (5 sessions)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5</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$1,500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Private-Pay Defense Cases (2 cases)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$4,500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Expert Testimony / Affidavits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$350</w:t>
            </w:r>
          </w:p>
        </w:tc>
      </w:tr>
      <w:tr>
        <w:tc>
          <w:tcPr>
            <w:tcW w:type="dxa" w:w="468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tcPr>
          <w:p>
            <w:r>
              <w:rPr>
                <w:rFonts w:ascii="Arial" w:cs="Arial" w:eastAsia="Arial" w:hAnsi="Arial"/>
                <w:b/>
                <w:bCs/>
                <w:color w:val="FFFFFF"/>
                <w:sz w:val="22"/>
                <w:szCs w:val="22"/>
              </w:rPr>
              <w:t xml:space="preserve">PHASE 2 TOTAL</w:t>
            </w:r>
          </w:p>
        </w:tc>
        <w:tc>
          <w:tcPr>
            <w:tcW w:type="dxa" w:w="234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tcPr>
          <w:p>
            <w:r>
              <w:rPr>
                <w:rFonts w:ascii="Arial" w:cs="Arial" w:eastAsia="Arial" w:hAnsi="Arial"/>
                <w:color w:val="FFFFFF"/>
                <w:sz w:val="22"/>
                <w:szCs w:val="22"/>
              </w:rPr>
              <w:t xml:space="preserve"/>
            </w:r>
          </w:p>
        </w:tc>
        <w:tc>
          <w:tcPr>
            <w:tcW w:type="dxa" w:w="2340"/>
            <w:tcBorders>
              <w:top w:val="single" w:color="CCCCCC" w:sz="1"/>
              <w:left w:val="single" w:color="CCCCCC" w:sz="1"/>
              <w:bottom w:val="single" w:color="CCCCCC" w:sz="1"/>
              <w:right w:val="single" w:color="CCCCCC" w:sz="1"/>
            </w:tcBorders>
            <w:shd w:fill="C9A84C" w:val="clear"/>
            <w:tcMar>
              <w:top w:type="dxa" w:w="100"/>
              <w:left w:type="dxa" w:w="120"/>
              <w:bottom w:type="dxa" w:w="100"/>
              <w:right w:type="dxa" w:w="120"/>
            </w:tcMar>
          </w:tcPr>
          <w:p>
            <w:pPr>
              <w:jc w:val="center"/>
            </w:pPr>
            <w:r>
              <w:rPr>
                <w:rFonts w:ascii="Arial" w:cs="Arial" w:eastAsia="Arial" w:hAnsi="Arial"/>
                <w:b/>
                <w:bCs/>
                <w:color w:val="1B3A6B"/>
                <w:sz w:val="24"/>
                <w:szCs w:val="24"/>
              </w:rPr>
              <w:t xml:space="preserve">$25,000</w:t>
            </w:r>
          </w:p>
        </w:tc>
      </w:tr>
    </w:tbl>
    <w:p>
      <w:pPr>
        <w:spacing w:after="0" w:before="160"/>
      </w:pPr>
      <w:r>
        <w:t xml:space="preserve"/>
      </w:r>
    </w:p>
    <w:p>
      <w:pPr>
        <w:pStyle w:val="Heading2"/>
        <w:spacing w:after="100" w:before="280"/>
      </w:pPr>
      <w:r>
        <w:rPr>
          <w:rFonts w:ascii="Arial" w:cs="Arial" w:eastAsia="Arial" w:hAnsi="Arial"/>
          <w:b/>
          <w:bCs/>
          <w:color w:val="1B3A6B"/>
          <w:sz w:val="26"/>
          <w:szCs w:val="26"/>
        </w:rPr>
        <w:t xml:space="preserve">Phase 3 — Harvest (Days 61–90) | Target: $20,000</w:t>
      </w:r>
    </w:p>
    <w:p>
      <w:pPr>
        <w:pBdr>
          <w:left w:val="single" w:color="C9A84C" w:sz="16" w:space="8"/>
        </w:pBdr>
        <w:spacing w:after="80" w:before="60"/>
        <w:ind w:left="240"/>
      </w:pPr>
      <w:r>
        <w:rPr>
          <w:rFonts w:ascii="Arial" w:cs="Arial" w:eastAsia="Arial" w:hAnsi="Arial"/>
          <w:color w:val="555555"/>
          <w:sz w:val="22"/>
          <w:szCs w:val="22"/>
        </w:rPr>
        <w:t xml:space="preserve">Focus: Expert testimony delivery, referral harvest, PCSOT volume, Fort Bend expansion</w:t>
      </w:r>
    </w:p>
    <w:p>
      <w:pPr>
        <w:spacing w:after="0" w:before="80"/>
      </w:pPr>
      <w:r>
        <w:t xml:space="preserve"/>
      </w:r>
    </w:p>
    <w:p>
      <w:pPr>
        <w:spacing w:after="80" w:before="200"/>
      </w:pPr>
      <w:r>
        <w:rPr>
          <w:rFonts w:ascii="Arial" w:cs="Arial" w:eastAsia="Arial" w:hAnsi="Arial"/>
          <w:b/>
          <w:bCs/>
          <w:color w:val="C9A84C"/>
          <w:sz w:val="24"/>
          <w:szCs w:val="24"/>
        </w:rPr>
        <w:t xml:space="preserve">Expert Testimony &amp; High-Value Deliverables</w:t>
      </w:r>
    </w:p>
    <w:p>
      <w:pPr>
        <w:pStyle w:val="ListParagraph"/>
        <w:numPr>
          <w:ilvl w:val="0"/>
          <w:numId w:val="2"/>
        </w:numPr>
        <w:spacing w:after="40" w:before="40"/>
      </w:pPr>
      <w:r>
        <w:rPr>
          <w:rFonts w:ascii="Arial" w:cs="Arial" w:eastAsia="Arial" w:hAnsi="Arial"/>
          <w:b w:val="false"/>
          <w:bCs w:val="false"/>
          <w:color w:val="333333"/>
          <w:sz w:val="22"/>
          <w:szCs w:val="22"/>
        </w:rPr>
        <w:t xml:space="preserve">Deliver expert testimony on cases prepared in Phases 1 and 2 — $750–$1,500 per appearance</w:t>
      </w:r>
    </w:p>
    <w:p>
      <w:pPr>
        <w:pStyle w:val="ListParagraph"/>
        <w:numPr>
          <w:ilvl w:val="0"/>
          <w:numId w:val="2"/>
        </w:numPr>
        <w:spacing w:after="40" w:before="40"/>
      </w:pPr>
      <w:r>
        <w:rPr>
          <w:rFonts w:ascii="Arial" w:cs="Arial" w:eastAsia="Arial" w:hAnsi="Arial"/>
          <w:b w:val="false"/>
          <w:bCs w:val="false"/>
          <w:color w:val="333333"/>
          <w:sz w:val="22"/>
          <w:szCs w:val="22"/>
        </w:rPr>
        <w:t xml:space="preserve">Prepare affidavits and deposition support for attorneys in active cases</w:t>
      </w:r>
    </w:p>
    <w:p>
      <w:pPr>
        <w:pStyle w:val="ListParagraph"/>
        <w:numPr>
          <w:ilvl w:val="0"/>
          <w:numId w:val="2"/>
        </w:numPr>
        <w:spacing w:after="40" w:before="40"/>
      </w:pPr>
      <w:r>
        <w:rPr>
          <w:rFonts w:ascii="Arial" w:cs="Arial" w:eastAsia="Arial" w:hAnsi="Arial"/>
          <w:b w:val="false"/>
          <w:bCs w:val="false"/>
          <w:color w:val="333333"/>
          <w:sz w:val="22"/>
          <w:szCs w:val="22"/>
        </w:rPr>
        <w:t xml:space="preserve">Market Dr. Walwyn's command-level expertise specifically to capital and serious felony defense attorneys</w:t>
      </w:r>
    </w:p>
    <w:p>
      <w:pPr>
        <w:spacing w:after="0" w:before="80"/>
      </w:pPr>
      <w:r>
        <w:t xml:space="preserve"/>
      </w:r>
    </w:p>
    <w:p>
      <w:pPr>
        <w:spacing w:after="80" w:before="200"/>
      </w:pPr>
      <w:r>
        <w:rPr>
          <w:rFonts w:ascii="Arial" w:cs="Arial" w:eastAsia="Arial" w:hAnsi="Arial"/>
          <w:b/>
          <w:bCs/>
          <w:color w:val="C9A84C"/>
          <w:sz w:val="24"/>
          <w:szCs w:val="24"/>
        </w:rPr>
        <w:t xml:space="preserve">Fort Bend County Expansion</w:t>
      </w:r>
    </w:p>
    <w:p>
      <w:pPr>
        <w:pStyle w:val="ListParagraph"/>
        <w:numPr>
          <w:ilvl w:val="0"/>
          <w:numId w:val="2"/>
        </w:numPr>
        <w:spacing w:after="40" w:before="40"/>
      </w:pPr>
      <w:r>
        <w:rPr>
          <w:rFonts w:ascii="Arial" w:cs="Arial" w:eastAsia="Arial" w:hAnsi="Arial"/>
          <w:b w:val="false"/>
          <w:bCs w:val="false"/>
          <w:color w:val="333333"/>
          <w:sz w:val="22"/>
          <w:szCs w:val="22"/>
        </w:rPr>
        <w:t xml:space="preserve">Direct outreach to Fort Bend County criminal defense bar — bilingual service is a differentiator here</w:t>
      </w:r>
    </w:p>
    <w:p>
      <w:pPr>
        <w:pStyle w:val="ListParagraph"/>
        <w:numPr>
          <w:ilvl w:val="0"/>
          <w:numId w:val="2"/>
        </w:numPr>
        <w:spacing w:after="40" w:before="40"/>
      </w:pPr>
      <w:r>
        <w:rPr>
          <w:rFonts w:ascii="Arial" w:cs="Arial" w:eastAsia="Arial" w:hAnsi="Arial"/>
          <w:b w:val="false"/>
          <w:bCs w:val="false"/>
          <w:color w:val="333333"/>
          <w:sz w:val="22"/>
          <w:szCs w:val="22"/>
        </w:rPr>
        <w:t xml:space="preserve">Contact Fort Bend County courts to confirm IAI vendor status and billing procedures</w:t>
      </w:r>
    </w:p>
    <w:p>
      <w:pPr>
        <w:pStyle w:val="ListParagraph"/>
        <w:numPr>
          <w:ilvl w:val="0"/>
          <w:numId w:val="2"/>
        </w:numPr>
        <w:spacing w:after="40" w:before="40"/>
      </w:pPr>
      <w:r>
        <w:rPr>
          <w:rFonts w:ascii="Arial" w:cs="Arial" w:eastAsia="Arial" w:hAnsi="Arial"/>
          <w:b w:val="false"/>
          <w:bCs w:val="false"/>
          <w:color w:val="333333"/>
          <w:sz w:val="22"/>
          <w:szCs w:val="22"/>
        </w:rPr>
        <w:t xml:space="preserve">Target 2 Fort Bend County CJA or private-pay cases in Phase 3</w:t>
      </w:r>
    </w:p>
    <w:p>
      <w:pPr>
        <w:spacing w:after="0" w:before="80"/>
      </w:pPr>
      <w:r>
        <w:t xml:space="preserve"/>
      </w:r>
    </w:p>
    <w:p>
      <w:pPr>
        <w:spacing w:after="80" w:before="200"/>
      </w:pPr>
      <w:r>
        <w:rPr>
          <w:rFonts w:ascii="Arial" w:cs="Arial" w:eastAsia="Arial" w:hAnsi="Arial"/>
          <w:b/>
          <w:bCs/>
          <w:color w:val="C9A84C"/>
          <w:sz w:val="24"/>
          <w:szCs w:val="24"/>
        </w:rPr>
        <w:t xml:space="preserve">Referral Harvest</w:t>
      </w:r>
    </w:p>
    <w:p>
      <w:pPr>
        <w:pStyle w:val="ListParagraph"/>
        <w:numPr>
          <w:ilvl w:val="0"/>
          <w:numId w:val="2"/>
        </w:numPr>
        <w:spacing w:after="40" w:before="40"/>
      </w:pPr>
      <w:r>
        <w:rPr>
          <w:rFonts w:ascii="Arial" w:cs="Arial" w:eastAsia="Arial" w:hAnsi="Arial"/>
          <w:b w:val="false"/>
          <w:bCs w:val="false"/>
          <w:color w:val="333333"/>
          <w:sz w:val="22"/>
          <w:szCs w:val="22"/>
        </w:rPr>
        <w:t xml:space="preserve">Request referrals from every satisfied attorney client — a personal call from Dr. Walwyn</w:t>
      </w:r>
    </w:p>
    <w:p>
      <w:pPr>
        <w:pStyle w:val="ListParagraph"/>
        <w:numPr>
          <w:ilvl w:val="0"/>
          <w:numId w:val="2"/>
        </w:numPr>
        <w:spacing w:after="40" w:before="40"/>
      </w:pPr>
      <w:r>
        <w:rPr>
          <w:rFonts w:ascii="Arial" w:cs="Arial" w:eastAsia="Arial" w:hAnsi="Arial"/>
          <w:b w:val="false"/>
          <w:bCs w:val="false"/>
          <w:color w:val="333333"/>
          <w:sz w:val="22"/>
          <w:szCs w:val="22"/>
        </w:rPr>
        <w:t xml:space="preserve">Offer a brief CLE presentation to small attorney groups for continued relationship building</w:t>
      </w:r>
    </w:p>
    <w:p>
      <w:pPr>
        <w:pStyle w:val="ListParagraph"/>
        <w:numPr>
          <w:ilvl w:val="0"/>
          <w:numId w:val="2"/>
        </w:numPr>
        <w:spacing w:after="40" w:before="40"/>
      </w:pPr>
      <w:r>
        <w:rPr>
          <w:rFonts w:ascii="Arial" w:cs="Arial" w:eastAsia="Arial" w:hAnsi="Arial"/>
          <w:b w:val="false"/>
          <w:bCs w:val="false"/>
          <w:color w:val="333333"/>
          <w:sz w:val="22"/>
          <w:szCs w:val="22"/>
        </w:rPr>
        <w:t xml:space="preserve">Review all cases in the CMS — identify any unbilled time and submit outstanding vouchers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CCCCC" w:sz="1"/>
              <w:left w:val="single" w:color="CCCCCC" w:sz="1"/>
              <w:bottom w:val="single" w:color="CCCCCC" w:sz="1"/>
              <w:right w:val="single" w:color="CCCCCC" w:sz="1"/>
            </w:tcBorders>
            <w:shd w:fill="C9A84C"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PHASE 3 REVENUE BREAKDOWN</w:t>
            </w:r>
          </w:p>
        </w:tc>
        <w:tc>
          <w:tcPr>
            <w:tcW w:type="dxa" w:w="2340"/>
            <w:tcBorders>
              <w:top w:val="single" w:color="CCCCCC" w:sz="1"/>
              <w:left w:val="single" w:color="CCCCCC" w:sz="1"/>
              <w:bottom w:val="single" w:color="CCCCCC" w:sz="1"/>
              <w:right w:val="single" w:color="CCCCCC" w:sz="1"/>
            </w:tcBorders>
            <w:shd w:fill="C9A84C"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UNITS</w:t>
            </w:r>
          </w:p>
        </w:tc>
        <w:tc>
          <w:tcPr>
            <w:tcW w:type="dxa" w:w="2340"/>
            <w:tcBorders>
              <w:top w:val="single" w:color="CCCCCC" w:sz="1"/>
              <w:left w:val="single" w:color="CCCCCC" w:sz="1"/>
              <w:bottom w:val="single" w:color="CCCCCC" w:sz="1"/>
              <w:right w:val="single" w:color="CCCCCC" w:sz="1"/>
            </w:tcBorders>
            <w:shd w:fill="C9A84C" w:val="clear"/>
            <w:tcMar>
              <w:top w:type="dxa" w:w="100"/>
              <w:left w:type="dxa" w:w="120"/>
              <w:bottom w:type="dxa" w:w="100"/>
              <w:right w:type="dxa" w:w="120"/>
            </w:tcMar>
            <w:vAlign w:val="center"/>
          </w:tcPr>
          <w:p>
            <w:pPr>
              <w:jc w:val="center"/>
            </w:pPr>
            <w:r>
              <w:rPr>
                <w:rFonts w:ascii="Arial" w:cs="Arial" w:eastAsia="Arial" w:hAnsi="Arial"/>
                <w:b/>
                <w:bCs/>
                <w:color w:val="1B3A6B"/>
                <w:sz w:val="20"/>
                <w:szCs w:val="20"/>
              </w:rPr>
              <w:t xml:space="preserve">REVENUE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CJA Investigations (2 cases + voucher closeouts)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$8,800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EyeDetect® Assessments (4 sessions)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4</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$2,600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VerifEye® PSI Reports (5 reports)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5</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$2,000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PCSOT Testing (5 sessions)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5</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$1,500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Expert Testimony (3 appearances)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3</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$3,000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Private-Pay Defense Cases (2 cases)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$2,100</w:t>
            </w:r>
          </w:p>
        </w:tc>
      </w:tr>
      <w:tr>
        <w:tc>
          <w:tcPr>
            <w:tcW w:type="dxa" w:w="468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tcPr>
          <w:p>
            <w:r>
              <w:rPr>
                <w:rFonts w:ascii="Arial" w:cs="Arial" w:eastAsia="Arial" w:hAnsi="Arial"/>
                <w:b/>
                <w:bCs/>
                <w:color w:val="FFFFFF"/>
                <w:sz w:val="22"/>
                <w:szCs w:val="22"/>
              </w:rPr>
              <w:t xml:space="preserve">PHASE 3 TOTAL</w:t>
            </w:r>
          </w:p>
        </w:tc>
        <w:tc>
          <w:tcPr>
            <w:tcW w:type="dxa" w:w="234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tcPr>
          <w:p>
            <w:r>
              <w:rPr>
                <w:rFonts w:ascii="Arial" w:cs="Arial" w:eastAsia="Arial" w:hAnsi="Arial"/>
                <w:color w:val="FFFFFF"/>
                <w:sz w:val="22"/>
                <w:szCs w:val="22"/>
              </w:rPr>
              <w:t xml:space="preserve"/>
            </w:r>
          </w:p>
        </w:tc>
        <w:tc>
          <w:tcPr>
            <w:tcW w:type="dxa" w:w="2340"/>
            <w:tcBorders>
              <w:top w:val="single" w:color="CCCCCC" w:sz="1"/>
              <w:left w:val="single" w:color="CCCCCC" w:sz="1"/>
              <w:bottom w:val="single" w:color="CCCCCC" w:sz="1"/>
              <w:right w:val="single" w:color="CCCCCC" w:sz="1"/>
            </w:tcBorders>
            <w:shd w:fill="C9A84C" w:val="clear"/>
            <w:tcMar>
              <w:top w:type="dxa" w:w="100"/>
              <w:left w:type="dxa" w:w="120"/>
              <w:bottom w:type="dxa" w:w="100"/>
              <w:right w:type="dxa" w:w="120"/>
            </w:tcMar>
          </w:tcPr>
          <w:p>
            <w:pPr>
              <w:jc w:val="center"/>
            </w:pPr>
            <w:r>
              <w:rPr>
                <w:rFonts w:ascii="Arial" w:cs="Arial" w:eastAsia="Arial" w:hAnsi="Arial"/>
                <w:b/>
                <w:bCs/>
                <w:color w:val="1B3A6B"/>
                <w:sz w:val="24"/>
                <w:szCs w:val="24"/>
              </w:rPr>
              <w:t xml:space="preserve">$20,000</w:t>
            </w:r>
          </w:p>
        </w:tc>
      </w:tr>
    </w:tbl>
    <w:p>
      <w:r>
        <w:br w:type="page"/>
      </w:r>
    </w:p>
    <w:p>
      <w:pPr>
        <w:pStyle w:val="Heading1"/>
        <w:pBdr>
          <w:bottom w:val="single" w:color="C9A84C" w:sz="10" w:space="4"/>
        </w:pBdr>
        <w:spacing w:after="160" w:before="400"/>
      </w:pPr>
      <w:r>
        <w:rPr>
          <w:rFonts w:ascii="Arial" w:cs="Arial" w:eastAsia="Arial" w:hAnsi="Arial"/>
          <w:b/>
          <w:bCs/>
          <w:color w:val="1B3A6B"/>
          <w:sz w:val="30"/>
          <w:szCs w:val="30"/>
        </w:rPr>
        <w:t xml:space="preserve">Key Performance Indicators</w:t>
      </w:r>
    </w:p>
    <w:p>
      <w:pPr>
        <w:spacing w:after="80" w:before="60"/>
      </w:pPr>
      <w:r>
        <w:rPr>
          <w:rFonts w:ascii="Arial" w:cs="Arial" w:eastAsia="Arial" w:hAnsi="Arial"/>
          <w:color w:val="333333"/>
          <w:sz w:val="22"/>
          <w:szCs w:val="22"/>
        </w:rPr>
        <w:t xml:space="preserve">Track these metrics weekly using the IAI Business Suite and Case Management System.</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340"/>
        <w:gridCol w:w="1560"/>
        <w:gridCol w:w="2340"/>
      </w:tblGrid>
      <w:tr>
        <w:tc>
          <w:tcPr>
            <w:tcW w:type="dxa" w:w="312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KPI</w:t>
            </w:r>
          </w:p>
        </w:tc>
        <w:tc>
          <w:tcPr>
            <w:tcW w:type="dxa" w:w="234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PHASE 1 TARGET</w:t>
            </w:r>
          </w:p>
        </w:tc>
        <w:tc>
          <w:tcPr>
            <w:tcW w:type="dxa" w:w="156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PHASE 2 TARGET</w:t>
            </w:r>
          </w:p>
        </w:tc>
        <w:tc>
          <w:tcPr>
            <w:tcW w:type="dxa" w:w="234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PHASE 3 TARGET</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Attorney contacts made</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50</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30</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20</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New CJA cases assigned</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3</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4</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EyeDetect® sessions delivered</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8</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8</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4</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VerifEye® PSI reports delivered</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5</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5</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5</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PCSOT sessions delivered</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5</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5</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Revenue invoiced</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bCs/>
                <w:color w:val="333333"/>
                <w:sz w:val="20"/>
                <w:szCs w:val="20"/>
              </w:rPr>
              <w:t xml:space="preserve">$15,000</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bCs/>
                <w:color w:val="333333"/>
                <w:sz w:val="20"/>
                <w:szCs w:val="20"/>
              </w:rPr>
              <w:t xml:space="preserve">$25,000</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bCs/>
                <w:color w:val="333333"/>
                <w:sz w:val="20"/>
                <w:szCs w:val="20"/>
              </w:rPr>
              <w:t xml:space="preserve">$20,000</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Revenue collected</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$8,000+</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$20,000+</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center"/>
            </w:pPr>
            <w:r>
              <w:rPr>
                <w:rFonts w:ascii="Arial" w:cs="Arial" w:eastAsia="Arial" w:hAnsi="Arial"/>
                <w:b w:val="false"/>
                <w:bCs w:val="false"/>
                <w:color w:val="333333"/>
                <w:sz w:val="20"/>
                <w:szCs w:val="20"/>
              </w:rPr>
              <w:t xml:space="preserve">$30,000+</w:t>
            </w:r>
          </w:p>
        </w:tc>
      </w:tr>
    </w:tbl>
    <w:p>
      <w:r>
        <w:br w:type="page"/>
      </w:r>
    </w:p>
    <w:p>
      <w:pPr>
        <w:pStyle w:val="Heading1"/>
        <w:pBdr>
          <w:bottom w:val="single" w:color="C9A84C" w:sz="10" w:space="4"/>
        </w:pBdr>
        <w:spacing w:after="160" w:before="400"/>
      </w:pPr>
      <w:r>
        <w:rPr>
          <w:rFonts w:ascii="Arial" w:cs="Arial" w:eastAsia="Arial" w:hAnsi="Arial"/>
          <w:b/>
          <w:bCs/>
          <w:color w:val="1B3A6B"/>
          <w:sz w:val="30"/>
          <w:szCs w:val="30"/>
        </w:rPr>
        <w:t xml:space="preserve">Week 1 Immediate Action Checklist</w:t>
      </w:r>
    </w:p>
    <w:p>
      <w:pPr>
        <w:spacing w:after="80" w:before="60"/>
      </w:pPr>
      <w:r>
        <w:rPr>
          <w:rFonts w:ascii="Arial" w:cs="Arial" w:eastAsia="Arial" w:hAnsi="Arial"/>
          <w:color w:val="333333"/>
          <w:sz w:val="22"/>
          <w:szCs w:val="22"/>
        </w:rPr>
        <w:t xml:space="preserve">The first 7 days set the revenue trajectory for the entire 90-day period. Every day of delay in attorney outreach costs approximately $5,000–$7,000 in downstream revenue. Execute these actions immediately.</w:t>
      </w:r>
    </w:p>
    <w:p>
      <w:pPr>
        <w:spacing w:after="0" w:before="80"/>
      </w:pPr>
      <w:r>
        <w:t xml:space="preserve"/>
      </w:r>
    </w:p>
    <w:p>
      <w:pPr>
        <w:spacing w:after="80" w:before="200"/>
      </w:pPr>
      <w:r>
        <w:rPr>
          <w:rFonts w:ascii="Arial" w:cs="Arial" w:eastAsia="Arial" w:hAnsi="Arial"/>
          <w:b/>
          <w:bCs/>
          <w:color w:val="C9A84C"/>
          <w:sz w:val="24"/>
          <w:szCs w:val="24"/>
        </w:rPr>
        <w:t xml:space="preserve">Day 1–2: Digital &amp; Outreach Preparation</w:t>
      </w:r>
    </w:p>
    <w:p>
      <w:pPr>
        <w:pStyle w:val="ListParagraph"/>
        <w:numPr>
          <w:ilvl w:val="0"/>
          <w:numId w:val="2"/>
        </w:numPr>
        <w:spacing w:after="40" w:before="40"/>
      </w:pPr>
      <w:r>
        <w:rPr>
          <w:rFonts w:ascii="Arial" w:cs="Arial" w:eastAsia="Arial" w:hAnsi="Arial"/>
          <w:b w:val="false"/>
          <w:bCs w:val="false"/>
          <w:color w:val="333333"/>
          <w:sz w:val="22"/>
          <w:szCs w:val="22"/>
        </w:rPr>
        <w:t xml:space="preserve">Confirm all IAI digital systems are live and functional — Attorney Portal, CMS, Business Suite</w:t>
      </w:r>
    </w:p>
    <w:p>
      <w:pPr>
        <w:pStyle w:val="ListParagraph"/>
        <w:numPr>
          <w:ilvl w:val="0"/>
          <w:numId w:val="2"/>
        </w:numPr>
        <w:spacing w:after="40" w:before="40"/>
      </w:pPr>
      <w:r>
        <w:rPr>
          <w:rFonts w:ascii="Arial" w:cs="Arial" w:eastAsia="Arial" w:hAnsi="Arial"/>
          <w:b w:val="false"/>
          <w:bCs w:val="false"/>
          <w:color w:val="333333"/>
          <w:sz w:val="22"/>
          <w:szCs w:val="22"/>
        </w:rPr>
        <w:t xml:space="preserve">Load the HCCLA attorney contact list into the IAI Attorney Outreach Tracker</w:t>
      </w:r>
    </w:p>
    <w:p>
      <w:pPr>
        <w:pStyle w:val="ListParagraph"/>
        <w:numPr>
          <w:ilvl w:val="0"/>
          <w:numId w:val="2"/>
        </w:numPr>
        <w:spacing w:after="40" w:before="40"/>
      </w:pPr>
      <w:r>
        <w:rPr>
          <w:rFonts w:ascii="Arial" w:cs="Arial" w:eastAsia="Arial" w:hAnsi="Arial"/>
          <w:b w:val="false"/>
          <w:bCs w:val="false"/>
          <w:color w:val="333333"/>
          <w:sz w:val="22"/>
          <w:szCs w:val="22"/>
        </w:rPr>
        <w:t xml:space="preserve">Prepare personalized email template using the IAI Bulk Email Sender</w:t>
      </w:r>
    </w:p>
    <w:p>
      <w:pPr>
        <w:pStyle w:val="ListParagraph"/>
        <w:numPr>
          <w:ilvl w:val="0"/>
          <w:numId w:val="2"/>
        </w:numPr>
        <w:spacing w:after="40" w:before="40"/>
      </w:pPr>
      <w:r>
        <w:rPr>
          <w:rFonts w:ascii="Arial" w:cs="Arial" w:eastAsia="Arial" w:hAnsi="Arial"/>
          <w:b w:val="false"/>
          <w:bCs w:val="false"/>
          <w:color w:val="333333"/>
          <w:sz w:val="22"/>
          <w:szCs w:val="22"/>
        </w:rPr>
        <w:t xml:space="preserve">Share Attorney Portal link (iahotx.com/attorney-portal.html) in all outreach</w:t>
      </w:r>
    </w:p>
    <w:p>
      <w:pPr>
        <w:pStyle w:val="ListParagraph"/>
        <w:numPr>
          <w:ilvl w:val="0"/>
          <w:numId w:val="2"/>
        </w:numPr>
        <w:spacing w:after="40" w:before="40"/>
      </w:pPr>
      <w:r>
        <w:rPr>
          <w:rFonts w:ascii="Arial" w:cs="Arial" w:eastAsia="Arial" w:hAnsi="Arial"/>
          <w:b w:val="false"/>
          <w:bCs w:val="false"/>
          <w:color w:val="333333"/>
          <w:sz w:val="22"/>
          <w:szCs w:val="22"/>
        </w:rPr>
        <w:t xml:space="preserve">Confirm VerifEye® test inventory and scheduling availability with A.D.</w:t>
      </w:r>
    </w:p>
    <w:p>
      <w:pPr>
        <w:spacing w:after="0" w:before="80"/>
      </w:pPr>
      <w:r>
        <w:t xml:space="preserve"/>
      </w:r>
    </w:p>
    <w:p>
      <w:pPr>
        <w:spacing w:after="80" w:before="200"/>
      </w:pPr>
      <w:r>
        <w:rPr>
          <w:rFonts w:ascii="Arial" w:cs="Arial" w:eastAsia="Arial" w:hAnsi="Arial"/>
          <w:b/>
          <w:bCs/>
          <w:color w:val="C9A84C"/>
          <w:sz w:val="24"/>
          <w:szCs w:val="24"/>
        </w:rPr>
        <w:t xml:space="preserve">Day 3–5: Attorney Outreach Launch</w:t>
      </w:r>
    </w:p>
    <w:p>
      <w:pPr>
        <w:pStyle w:val="ListParagraph"/>
        <w:numPr>
          <w:ilvl w:val="0"/>
          <w:numId w:val="2"/>
        </w:numPr>
        <w:spacing w:after="40" w:before="40"/>
      </w:pPr>
      <w:r>
        <w:rPr>
          <w:rFonts w:ascii="Arial" w:cs="Arial" w:eastAsia="Arial" w:hAnsi="Arial"/>
          <w:b w:val="false"/>
          <w:bCs w:val="false"/>
          <w:color w:val="333333"/>
          <w:sz w:val="22"/>
          <w:szCs w:val="22"/>
        </w:rPr>
        <w:t xml:space="preserve">Send first batch of 25 HCCLA attorney emails with the IAI capability presentation link</w:t>
      </w:r>
    </w:p>
    <w:p>
      <w:pPr>
        <w:pStyle w:val="ListParagraph"/>
        <w:numPr>
          <w:ilvl w:val="0"/>
          <w:numId w:val="2"/>
        </w:numPr>
        <w:spacing w:after="40" w:before="40"/>
      </w:pPr>
      <w:r>
        <w:rPr>
          <w:rFonts w:ascii="Arial" w:cs="Arial" w:eastAsia="Arial" w:hAnsi="Arial"/>
          <w:b w:val="false"/>
          <w:bCs w:val="false"/>
          <w:color w:val="333333"/>
          <w:sz w:val="22"/>
          <w:szCs w:val="22"/>
        </w:rPr>
        <w:t xml:space="preserve">Call any attorneys you have existing relationships with — ask for one case referral</w:t>
      </w:r>
    </w:p>
    <w:p>
      <w:pPr>
        <w:pStyle w:val="ListParagraph"/>
        <w:numPr>
          <w:ilvl w:val="0"/>
          <w:numId w:val="2"/>
        </w:numPr>
        <w:spacing w:after="40" w:before="40"/>
      </w:pPr>
      <w:r>
        <w:rPr>
          <w:rFonts w:ascii="Arial" w:cs="Arial" w:eastAsia="Arial" w:hAnsi="Arial"/>
          <w:b w:val="false"/>
          <w:bCs w:val="false"/>
          <w:color w:val="333333"/>
          <w:sz w:val="22"/>
          <w:szCs w:val="22"/>
        </w:rPr>
        <w:t xml:space="preserve">Contact MAC program coordinator — confirm billing status and any pending voucher approvals</w:t>
      </w:r>
    </w:p>
    <w:p>
      <w:pPr>
        <w:pStyle w:val="ListParagraph"/>
        <w:numPr>
          <w:ilvl w:val="0"/>
          <w:numId w:val="2"/>
        </w:numPr>
        <w:spacing w:after="40" w:before="40"/>
      </w:pPr>
      <w:r>
        <w:rPr>
          <w:rFonts w:ascii="Arial" w:cs="Arial" w:eastAsia="Arial" w:hAnsi="Arial"/>
          <w:b w:val="false"/>
          <w:bCs w:val="false"/>
          <w:color w:val="333333"/>
          <w:sz w:val="22"/>
          <w:szCs w:val="22"/>
        </w:rPr>
        <w:t xml:space="preserve">Post to any professional social media channels about IAI's VerifEye® PSI remote service</w:t>
      </w:r>
    </w:p>
    <w:p>
      <w:pPr>
        <w:spacing w:after="0" w:before="80"/>
      </w:pPr>
      <w:r>
        <w:t xml:space="preserve"/>
      </w:r>
    </w:p>
    <w:p>
      <w:pPr>
        <w:spacing w:after="80" w:before="200"/>
      </w:pPr>
      <w:r>
        <w:rPr>
          <w:rFonts w:ascii="Arial" w:cs="Arial" w:eastAsia="Arial" w:hAnsi="Arial"/>
          <w:b/>
          <w:bCs/>
          <w:color w:val="C9A84C"/>
          <w:sz w:val="24"/>
          <w:szCs w:val="24"/>
        </w:rPr>
        <w:t xml:space="preserve">Day 6–7: Follow-Up &amp; First Bookings</w:t>
      </w:r>
    </w:p>
    <w:p>
      <w:pPr>
        <w:pStyle w:val="ListParagraph"/>
        <w:numPr>
          <w:ilvl w:val="0"/>
          <w:numId w:val="2"/>
        </w:numPr>
        <w:spacing w:after="40" w:before="40"/>
      </w:pPr>
      <w:r>
        <w:rPr>
          <w:rFonts w:ascii="Arial" w:cs="Arial" w:eastAsia="Arial" w:hAnsi="Arial"/>
          <w:b w:val="false"/>
          <w:bCs w:val="false"/>
          <w:color w:val="333333"/>
          <w:sz w:val="22"/>
          <w:szCs w:val="22"/>
        </w:rPr>
        <w:t xml:space="preserve">Follow up by phone with all emailed attorneys — Dr. Walwyn personal calls</w:t>
      </w:r>
    </w:p>
    <w:p>
      <w:pPr>
        <w:pStyle w:val="ListParagraph"/>
        <w:numPr>
          <w:ilvl w:val="0"/>
          <w:numId w:val="2"/>
        </w:numPr>
        <w:spacing w:after="40" w:before="40"/>
      </w:pPr>
      <w:r>
        <w:rPr>
          <w:rFonts w:ascii="Arial" w:cs="Arial" w:eastAsia="Arial" w:hAnsi="Arial"/>
          <w:b w:val="false"/>
          <w:bCs w:val="false"/>
          <w:color w:val="333333"/>
          <w:sz w:val="22"/>
          <w:szCs w:val="22"/>
        </w:rPr>
        <w:t xml:space="preserve">Send second batch of 25 HCCLA attorney emails</w:t>
      </w:r>
    </w:p>
    <w:p>
      <w:pPr>
        <w:pStyle w:val="ListParagraph"/>
        <w:numPr>
          <w:ilvl w:val="0"/>
          <w:numId w:val="2"/>
        </w:numPr>
        <w:spacing w:after="40" w:before="40"/>
      </w:pPr>
      <w:r>
        <w:rPr>
          <w:rFonts w:ascii="Arial" w:cs="Arial" w:eastAsia="Arial" w:hAnsi="Arial"/>
          <w:b w:val="false"/>
          <w:bCs w:val="false"/>
          <w:color w:val="333333"/>
          <w:sz w:val="22"/>
          <w:szCs w:val="22"/>
        </w:rPr>
        <w:t xml:space="preserve">Book first EyeDetect® or VerifEye® PSI assessment — confirm date, time, and payment</w:t>
      </w:r>
    </w:p>
    <w:p>
      <w:pPr>
        <w:pStyle w:val="ListParagraph"/>
        <w:numPr>
          <w:ilvl w:val="0"/>
          <w:numId w:val="2"/>
        </w:numPr>
        <w:spacing w:after="40" w:before="40"/>
      </w:pPr>
      <w:r>
        <w:rPr>
          <w:rFonts w:ascii="Arial" w:cs="Arial" w:eastAsia="Arial" w:hAnsi="Arial"/>
          <w:b w:val="false"/>
          <w:bCs w:val="false"/>
          <w:color w:val="333333"/>
          <w:sz w:val="22"/>
          <w:szCs w:val="22"/>
        </w:rPr>
        <w:t xml:space="preserve">Log all contacts and activity in the CMS and Attorney Outreach Tracker</w:t>
      </w:r>
    </w:p>
    <w:p>
      <w:r>
        <w:br w:type="page"/>
      </w:r>
    </w:p>
    <w:p>
      <w:pPr>
        <w:pStyle w:val="Heading1"/>
        <w:pBdr>
          <w:bottom w:val="single" w:color="C9A84C" w:sz="10" w:space="4"/>
        </w:pBdr>
        <w:spacing w:after="160" w:before="400"/>
      </w:pPr>
      <w:r>
        <w:rPr>
          <w:rFonts w:ascii="Arial" w:cs="Arial" w:eastAsia="Arial" w:hAnsi="Arial"/>
          <w:b/>
          <w:bCs/>
          <w:color w:val="1B3A6B"/>
          <w:sz w:val="30"/>
          <w:szCs w:val="30"/>
        </w:rPr>
        <w:t xml:space="preserve">Risk Assessment &amp; Mitigation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RISK</w:t>
            </w:r>
          </w:p>
        </w:tc>
        <w:tc>
          <w:tcPr>
            <w:tcW w:type="dxa" w:w="312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LIKELIHOOD</w:t>
            </w:r>
          </w:p>
        </w:tc>
        <w:tc>
          <w:tcPr>
            <w:tcW w:type="dxa" w:w="3120"/>
            <w:tcBorders>
              <w:top w:val="single" w:color="CCCCCC" w:sz="1"/>
              <w:left w:val="single" w:color="CCCCCC" w:sz="1"/>
              <w:bottom w:val="single" w:color="CCCCCC" w:sz="1"/>
              <w:right w:val="single" w:color="CCCCCC" w:sz="1"/>
            </w:tcBorders>
            <w:shd w:fill="1B3A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MITIGATION</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CJA voucher payment delays</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High — federal payments take 45–90 days</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Maintain EyeDetect® and private-pay as cash-flow bridge while CJA vouchers process</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Slow attorney response to outreach</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Medium — cold outreach converts slowly</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Lead with the HCCLA presentation link and VerifEye® PSI — lower barrier to first engagement</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Investigator capacity constraints</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Medium — Earl and Ty have limited hours</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Prioritize CJA cases for Dr. Walwyn; assign field work to Earl; reserve EyeDetect® for A.D.</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PCSOT referral pipeline slow to develop</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Medium — requires relationship building</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Start probation officer outreach in Week 1; PCSOT is a Phase 2 revenue line, not Phase 1</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VerifEye® PSI market awareness low</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Medium — new service in Houston market</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pPr>
              <w:jc w:val="left"/>
            </w:pPr>
            <w:r>
              <w:rPr>
                <w:rFonts w:ascii="Arial" w:cs="Arial" w:eastAsia="Arial" w:hAnsi="Arial"/>
                <w:b w:val="false"/>
                <w:bCs w:val="false"/>
                <w:color w:val="333333"/>
                <w:sz w:val="20"/>
                <w:szCs w:val="20"/>
              </w:rPr>
              <w:t xml:space="preserve">IAI is essentially the only Houston-area provider — lead with exclusivity in all marketing</w:t>
            </w:r>
          </w:p>
        </w:tc>
      </w:tr>
    </w:tbl>
    <w:p>
      <w:r>
        <w:br w:type="page"/>
      </w:r>
    </w:p>
    <w:p>
      <w:pPr>
        <w:pStyle w:val="Heading1"/>
        <w:pBdr>
          <w:bottom w:val="single" w:color="C9A84C" w:sz="10" w:space="4"/>
        </w:pBdr>
        <w:spacing w:after="160" w:before="400"/>
      </w:pPr>
      <w:r>
        <w:rPr>
          <w:rFonts w:ascii="Arial" w:cs="Arial" w:eastAsia="Arial" w:hAnsi="Arial"/>
          <w:b/>
          <w:bCs/>
          <w:color w:val="1B3A6B"/>
          <w:sz w:val="30"/>
          <w:szCs w:val="30"/>
        </w:rPr>
        <w:t xml:space="preserve">Conclusion — The IAI Advantage</w:t>
      </w:r>
    </w:p>
    <w:p>
      <w:pPr>
        <w:spacing w:after="80" w:before="60"/>
      </w:pPr>
      <w:r>
        <w:rPr>
          <w:rFonts w:ascii="Arial" w:cs="Arial" w:eastAsia="Arial" w:hAnsi="Arial"/>
          <w:color w:val="333333"/>
          <w:sz w:val="22"/>
          <w:szCs w:val="22"/>
        </w:rPr>
        <w:t xml:space="preserve">IAI enters this 90-day plan with advantages that most investigative firms our size do not have: tri-level court approval, two EyeDetect® certified examiners, a fully operational digital infrastructure, a professional attorney-facing portal, and the command-level credibility of Dr. Walwyn's nearly four decades of law enforcement leadership.</w:t>
      </w:r>
    </w:p>
    <w:p>
      <w:pPr>
        <w:spacing w:after="0" w:before="80"/>
      </w:pPr>
      <w:r>
        <w:t xml:space="preserve"/>
      </w:r>
    </w:p>
    <w:p>
      <w:pPr>
        <w:spacing w:after="80" w:before="60"/>
      </w:pPr>
      <w:r>
        <w:rPr>
          <w:rFonts w:ascii="Arial" w:cs="Arial" w:eastAsia="Arial" w:hAnsi="Arial"/>
          <w:color w:val="333333"/>
          <w:sz w:val="22"/>
          <w:szCs w:val="22"/>
        </w:rPr>
        <w:t xml:space="preserve">The $60,000 target is achievable. The key is consistent, personal outreach to criminal defense attorneys in the first 30 days — every attorney relationship built in Phase 1 compounds into Phase 2 and Phase 3 revenue. EyeDetect® and VerifEye® PSI provide the fastest cash-flow while CJA vouchers process through the federal system.</w:t>
      </w:r>
    </w:p>
    <w:p>
      <w:pPr>
        <w:spacing w:after="0" w:before="80"/>
      </w:pPr>
      <w:r>
        <w:t xml:space="preserve"/>
      </w:r>
    </w:p>
    <w:p>
      <w:pPr>
        <w:spacing w:after="80" w:before="60"/>
      </w:pPr>
      <w:r>
        <w:rPr>
          <w:rFonts w:ascii="Arial" w:cs="Arial" w:eastAsia="Arial" w:hAnsi="Arial"/>
          <w:b/>
          <w:bCs/>
          <w:color w:val="333333"/>
          <w:sz w:val="22"/>
          <w:szCs w:val="22"/>
        </w:rPr>
        <w:t xml:space="preserve">IAI is ready. The infrastructure is built. The credentials are established. The tools are deployed. Now it is time to execute.</w:t>
      </w:r>
    </w:p>
    <w:p>
      <w:pPr>
        <w:spacing w:after="0" w:before="160"/>
      </w:pPr>
      <w:r>
        <w:t xml:space="preserve"/>
      </w:r>
    </w:p>
    <w:p>
      <w:pPr>
        <w:pBdr>
          <w:top w:val="single" w:color="C9A84C" w:sz="10"/>
          <w:bottom w:val="single" w:color="C9A84C" w:sz="10"/>
        </w:pBdr>
        <w:spacing w:after="200" w:before="200"/>
        <w:jc w:val="center"/>
      </w:pPr>
      <w:r>
        <w:rPr>
          <w:rFonts w:ascii="Arial" w:cs="Arial" w:eastAsia="Arial" w:hAnsi="Arial"/>
          <w:b/>
          <w:bCs/>
          <w:color w:val="1B3A6B"/>
          <w:sz w:val="18"/>
          <w:szCs w:val="18"/>
        </w:rPr>
        <w:t xml:space="preserve">INTEGRITY ASSESSMENTS INVESTIGATIONS  |  TX LIC. A19944401  |  (407) 341-2778  |  admin@iahotx.com  |  iahotx.com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6" w:space="4"/>
      </w:pBdr>
      <w:spacing w:before="120"/>
      <w:jc w:val="center"/>
    </w:pPr>
    <w:r>
      <w:rPr>
        <w:rFonts w:ascii="Arial" w:cs="Arial" w:eastAsia="Arial" w:hAnsi="Arial"/>
        <w:color w:val="666666"/>
        <w:sz w:val="18"/>
        <w:szCs w:val="18"/>
      </w:rPr>
      <w:t xml:space="preserve">Integrity Assessments Investigations  |  TX Lic. A19944401  |  Confidential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6" w:space="4"/>
      </w:pBdr>
      <w:spacing w:after="120"/>
      <w:jc w:val="right"/>
    </w:pPr>
    <w:r>
      <w:rPr>
        <w:rFonts w:ascii="Arial" w:cs="Arial" w:eastAsia="Arial" w:hAnsi="Arial"/>
        <w:color w:val="666666"/>
        <w:sz w:val="18"/>
        <w:szCs w:val="18"/>
      </w:rPr>
      <w:t xml:space="preserve">IAI 90-Day Revenue Generation Plan  |  May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B3A6B"/>
      <w:sz w:val="30"/>
      <w:szCs w:val="30"/>
    </w:rPr>
  </w:style>
  <w:style w:type="paragraph" w:styleId="Heading2">
    <w:name w:val="Heading 2"/>
    <w:basedOn w:val="Normal"/>
    <w:next w:val="Normal"/>
    <w:qFormat/>
    <w:pPr>
      <w:spacing w:after="100" w:before="28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2026-05-05T21:35:46.818Z</dcterms:created>
  <dcterms:modified xsi:type="dcterms:W3CDTF">2026-05-05T21:35:46.818Z</dcterms:modified>
</cp:coreProperties>
</file>

<file path=docProps/custom.xml><?xml version="1.0" encoding="utf-8"?>
<Properties xmlns="http://schemas.openxmlformats.org/officeDocument/2006/custom-properties" xmlns:vt="http://schemas.openxmlformats.org/officeDocument/2006/docPropsVTypes"/>
</file>